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D7229" w14:textId="37BA2FD2" w:rsidR="00FE4301" w:rsidRDefault="00513CF5" w:rsidP="00744BAD">
      <w:pPr>
        <w:pStyle w:val="Subtitle"/>
        <w:spacing w:after="0" w:line="240" w:lineRule="auto"/>
      </w:pPr>
      <w:r>
        <w:rPr>
          <w:rFonts w:ascii="Century Gothic" w:hAnsi="Century Gothic"/>
          <w:noProof/>
          <w:color w:val="auto"/>
          <w:szCs w:val="24"/>
        </w:rPr>
        <mc:AlternateContent>
          <mc:Choice Requires="wps">
            <w:drawing>
              <wp:anchor distT="0" distB="0" distL="114300" distR="114300" simplePos="0" relativeHeight="251659264" behindDoc="0" locked="0" layoutInCell="1" allowOverlap="1" wp14:anchorId="1DFC928A" wp14:editId="7570DDD7">
                <wp:simplePos x="0" y="0"/>
                <wp:positionH relativeFrom="column">
                  <wp:posOffset>0</wp:posOffset>
                </wp:positionH>
                <wp:positionV relativeFrom="paragraph">
                  <wp:posOffset>-910590</wp:posOffset>
                </wp:positionV>
                <wp:extent cx="4686300"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84A2" w14:textId="77777777" w:rsidR="00513CF5" w:rsidRDefault="00513CF5" w:rsidP="00513CF5">
                            <w:pPr>
                              <w:pStyle w:val="Title"/>
                              <w:rPr>
                                <w:lang w:val="en-US"/>
                              </w:rPr>
                            </w:pPr>
                            <w:r>
                              <w:rPr>
                                <w:lang w:val="en-US"/>
                              </w:rPr>
                              <w:t>Policy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DFC928A" id="_x0000_t202" coordsize="21600,21600" o:spt="202" path="m,l,21600r21600,l21600,xe">
                <v:stroke joinstyle="miter"/>
                <v:path gradientshapeok="t" o:connecttype="rect"/>
              </v:shapetype>
              <v:shape id="Text Box 2" o:spid="_x0000_s1026" type="#_x0000_t202" style="position:absolute;margin-left:0;margin-top:-71.7pt;width:369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URywEAAHcDAAAOAAAAZHJzL2Uyb0RvYy54bWysU9tu2zAMfR+wfxD0vtjpuqww4hRbiw4D&#10;ugvQ9QMYWb5gtqiRSuzs60fJSbqtb8NeBJqUDs85pNfX09CrvSXu0JV6uci1ss5g1bmm1I/f7l5d&#10;acUBXAU9Olvqg2V9vXn5Yj36wl5gi31lSQmI42L0pW5D8EWWsWntALxAb50Ua6QBgnxSk1UEo6AP&#10;fXaR56tsRKo8obHMkr2di3qT8OvamvClrtkG1ZdauIV0Ujq38cw2aygaAt925kgD/oHFAJ2Tpmeo&#10;WwigdtQ9gxo6Q8hYh4XBIcO67oxNGkTNMv9LzUML3iYtYg77s038/2DN5/2D/0oqTO9xkgEmEezv&#10;0Xxn5fCmBdfYd0Q4thYqabyMlmWj5+L4NFrNBUeQ7fgJKxky7AImoKmmIboiOpWgywAOZ9PtFJSR&#10;5OXqavU6l5KR2uWbtzLV1AKK02tPHD5YHFQMSk0y1IQO+3sOkQ0UpyuxmcO7ru/TYHv3R0Iuxkxi&#10;HwnP1MO0neR2VLHF6iA6COc9kb2WoEX6qdUoO1Jq/rEDslr1H514ERfqFNAp2J4CcEaeljpoNYc3&#10;YV68naeuaQX5yUuZbtJx3MS4Pr9/J85P/8vmFwAAAP//AwBQSwMEFAAGAAgAAAAhAA4dOWHfAAAA&#10;CQEAAA8AAABkcnMvZG93bnJldi54bWxMj8FOwzAQRO9I/IO1lbi1TmjUljROVSE4ISHScODoJNvE&#10;arwOsduGv2c5lePOjGbfZLvJ9uKCozeOFMSLCARS7RpDrYLP8nW+AeGDpkb3jlDBD3rY5fd3mU4b&#10;d6UCL4fQCi4hn2oFXQhDKqWvO7TaL9yAxN7RjVYHPsdWNqO+crnt5WMUraTVhvhDpwd87rA+Hc5W&#10;wf6Lihfz/V59FMfClOVTRG+rk1IPs2m/BRFwCrcw/OEzOuTMVLkzNV70CnhIUDCPk2UCgv31csNS&#10;xdI6TkDmmfy/IP8FAAD//wMAUEsBAi0AFAAGAAgAAAAhALaDOJL+AAAA4QEAABMAAAAAAAAAAAAA&#10;AAAAAAAAAFtDb250ZW50X1R5cGVzXS54bWxQSwECLQAUAAYACAAAACEAOP0h/9YAAACUAQAACwAA&#10;AAAAAAAAAAAAAAAvAQAAX3JlbHMvLnJlbHNQSwECLQAUAAYACAAAACEAloUFEcsBAAB3AwAADgAA&#10;AAAAAAAAAAAAAAAuAgAAZHJzL2Uyb0RvYy54bWxQSwECLQAUAAYACAAAACEADh05Yd8AAAAJAQAA&#10;DwAAAAAAAAAAAAAAAAAlBAAAZHJzL2Rvd25yZXYueG1sUEsFBgAAAAAEAAQA8wAAADEFAAAAAA==&#10;" filled="f" stroked="f">
                <v:textbox inset="0,0,0,0">
                  <w:txbxContent>
                    <w:p w14:paraId="7D8E84A2" w14:textId="77777777" w:rsidR="00513CF5" w:rsidRDefault="00513CF5" w:rsidP="00513CF5">
                      <w:pPr>
                        <w:pStyle w:val="Title"/>
                        <w:rPr>
                          <w:lang w:val="en-US"/>
                        </w:rPr>
                      </w:pPr>
                      <w:r>
                        <w:rPr>
                          <w:lang w:val="en-US"/>
                        </w:rPr>
                        <w:t>Policy</w:t>
                      </w:r>
                    </w:p>
                  </w:txbxContent>
                </v:textbox>
              </v:shape>
            </w:pict>
          </mc:Fallback>
        </mc:AlternateContent>
      </w:r>
      <w:r w:rsidR="004A5469">
        <w:t>Data Breach Policy</w:t>
      </w:r>
    </w:p>
    <w:p w14:paraId="5492BC29" w14:textId="77777777" w:rsidR="00AA4612" w:rsidRPr="00AA4612" w:rsidRDefault="00AA4612" w:rsidP="00744BAD">
      <w:pPr>
        <w:spacing w:after="0" w:line="240" w:lineRule="auto"/>
      </w:pPr>
    </w:p>
    <w:p w14:paraId="590AF219" w14:textId="2BC5702E" w:rsidR="00513CF5" w:rsidRDefault="00513CF5" w:rsidP="00744BAD">
      <w:pPr>
        <w:pStyle w:val="Heading1"/>
        <w:spacing w:before="0" w:line="240" w:lineRule="auto"/>
      </w:pPr>
      <w:r>
        <w:t>Purpose</w:t>
      </w:r>
    </w:p>
    <w:p w14:paraId="135D65AE" w14:textId="77777777" w:rsidR="006B1E04" w:rsidRDefault="006B1E04" w:rsidP="00744BAD">
      <w:pPr>
        <w:spacing w:after="0" w:line="240" w:lineRule="auto"/>
      </w:pPr>
    </w:p>
    <w:p w14:paraId="417B02EC" w14:textId="0A8D5D7F" w:rsidR="00415849" w:rsidRPr="001524DA" w:rsidRDefault="00415849" w:rsidP="00744BAD">
      <w:pPr>
        <w:spacing w:after="0" w:line="240" w:lineRule="auto"/>
      </w:pPr>
      <w:r>
        <w:t xml:space="preserve">This policy outlines Urban Utilities’ </w:t>
      </w:r>
      <w:r w:rsidR="00250BAD">
        <w:t xml:space="preserve">approach </w:t>
      </w:r>
      <w:r>
        <w:t>to identifying</w:t>
      </w:r>
      <w:r w:rsidR="00B965C3">
        <w:t xml:space="preserve"> and responding to</w:t>
      </w:r>
      <w:r>
        <w:t xml:space="preserve"> data breaches. </w:t>
      </w:r>
    </w:p>
    <w:p w14:paraId="6BEF2DAF" w14:textId="77777777" w:rsidR="00513CF5" w:rsidRDefault="00513CF5" w:rsidP="00744BAD">
      <w:pPr>
        <w:spacing w:after="0" w:line="240" w:lineRule="auto"/>
      </w:pPr>
    </w:p>
    <w:p w14:paraId="51B871A8" w14:textId="77777777" w:rsidR="00513CF5" w:rsidRDefault="00513CF5" w:rsidP="00744BAD">
      <w:pPr>
        <w:pStyle w:val="Heading1"/>
        <w:spacing w:before="0" w:line="240" w:lineRule="auto"/>
      </w:pPr>
      <w:r>
        <w:t>Applicability of the Policy</w:t>
      </w:r>
    </w:p>
    <w:p w14:paraId="4BAB28AE" w14:textId="77777777" w:rsidR="00A10C5A" w:rsidRDefault="00A10C5A" w:rsidP="00744BAD">
      <w:pPr>
        <w:spacing w:after="0" w:line="240" w:lineRule="auto"/>
      </w:pPr>
    </w:p>
    <w:p w14:paraId="2BFC81C2" w14:textId="450F89A0" w:rsidR="00513CF5" w:rsidRDefault="00513CF5" w:rsidP="00744BAD">
      <w:pPr>
        <w:spacing w:after="0" w:line="240" w:lineRule="auto"/>
      </w:pPr>
      <w:r>
        <w:t>This is a</w:t>
      </w:r>
      <w:r w:rsidR="00775E1F">
        <w:t xml:space="preserve">n </w:t>
      </w:r>
      <w:proofErr w:type="gramStart"/>
      <w:r w:rsidR="00775E1F">
        <w:t>externally</w:t>
      </w:r>
      <w:r w:rsidR="00EB514A">
        <w:t>-facing</w:t>
      </w:r>
      <w:proofErr w:type="gramEnd"/>
      <w:r>
        <w:t xml:space="preserve"> policy</w:t>
      </w:r>
      <w:r w:rsidR="00A10C5A">
        <w:t xml:space="preserve">, </w:t>
      </w:r>
      <w:r w:rsidR="00BB20E5">
        <w:t xml:space="preserve">required under the </w:t>
      </w:r>
      <w:r w:rsidR="00BB20E5">
        <w:rPr>
          <w:i/>
          <w:iCs/>
        </w:rPr>
        <w:t xml:space="preserve">Information Privacy Act 2009 </w:t>
      </w:r>
      <w:r w:rsidR="00BB20E5">
        <w:t>(Qld).</w:t>
      </w:r>
      <w:r>
        <w:t xml:space="preserve"> </w:t>
      </w:r>
      <w:r w:rsidR="00832BD1">
        <w:t xml:space="preserve">This </w:t>
      </w:r>
      <w:r w:rsidR="00D329A5">
        <w:t xml:space="preserve">version of this </w:t>
      </w:r>
      <w:r w:rsidR="00832BD1">
        <w:t>policy takes effect from 1 July 2025.</w:t>
      </w:r>
    </w:p>
    <w:p w14:paraId="66A58D87" w14:textId="77777777" w:rsidR="008E2785" w:rsidRDefault="008E2785" w:rsidP="00744BAD">
      <w:pPr>
        <w:spacing w:after="0" w:line="240" w:lineRule="auto"/>
      </w:pPr>
    </w:p>
    <w:p w14:paraId="27E3D0E0" w14:textId="3719AD2F" w:rsidR="00513CF5" w:rsidRPr="003C34C2" w:rsidRDefault="00513CF5" w:rsidP="00744BAD">
      <w:pPr>
        <w:pStyle w:val="Heading1"/>
        <w:spacing w:before="0" w:line="240" w:lineRule="auto"/>
      </w:pPr>
      <w:r>
        <w:t>Scope</w:t>
      </w:r>
    </w:p>
    <w:p w14:paraId="23E82040" w14:textId="77777777" w:rsidR="006B1E04" w:rsidRDefault="006B1E04" w:rsidP="00744BAD">
      <w:pPr>
        <w:spacing w:after="0" w:line="240" w:lineRule="auto"/>
      </w:pPr>
    </w:p>
    <w:p w14:paraId="69D0E5DB" w14:textId="61839D2C" w:rsidR="00513CF5" w:rsidRPr="001524DA" w:rsidRDefault="00513CF5" w:rsidP="00744BAD">
      <w:pPr>
        <w:spacing w:after="0" w:line="240" w:lineRule="auto"/>
      </w:pPr>
      <w:r>
        <w:t>This policy</w:t>
      </w:r>
      <w:r w:rsidR="00A2091F">
        <w:t xml:space="preserve"> applies to </w:t>
      </w:r>
      <w:r w:rsidR="00CC7BC6">
        <w:t xml:space="preserve">all </w:t>
      </w:r>
      <w:r w:rsidR="00686EBA">
        <w:t>employees</w:t>
      </w:r>
      <w:r w:rsidR="00A06D48">
        <w:t>, consultants</w:t>
      </w:r>
      <w:r w:rsidR="005A20E5">
        <w:t>,</w:t>
      </w:r>
      <w:r w:rsidR="00790D6A">
        <w:t xml:space="preserve"> </w:t>
      </w:r>
      <w:r w:rsidR="00686EBA">
        <w:t>contractors</w:t>
      </w:r>
      <w:r w:rsidR="00CC7BC6">
        <w:t xml:space="preserve"> </w:t>
      </w:r>
      <w:r w:rsidR="005A20E5">
        <w:t xml:space="preserve">and other representatives </w:t>
      </w:r>
      <w:r w:rsidR="00CC7BC6">
        <w:t xml:space="preserve">of </w:t>
      </w:r>
      <w:r w:rsidR="00A14F1E">
        <w:t>Urban Utilities</w:t>
      </w:r>
      <w:r w:rsidR="00CC7BC6">
        <w:t>.</w:t>
      </w:r>
      <w:r w:rsidR="00FF73F4">
        <w:t xml:space="preserve"> It also applies to suppliers </w:t>
      </w:r>
      <w:r w:rsidR="000C7D15">
        <w:t>to</w:t>
      </w:r>
      <w:r w:rsidR="00FF73F4">
        <w:t xml:space="preserve"> Urban Utilities. </w:t>
      </w:r>
    </w:p>
    <w:p w14:paraId="0E0F0383" w14:textId="77777777" w:rsidR="00513CF5" w:rsidRPr="006B1E04" w:rsidRDefault="00513CF5" w:rsidP="00744BAD">
      <w:pPr>
        <w:spacing w:after="0" w:line="240" w:lineRule="auto"/>
      </w:pPr>
    </w:p>
    <w:p w14:paraId="21E4D1E3" w14:textId="65688D8D" w:rsidR="00513CF5" w:rsidRDefault="00513CF5" w:rsidP="00744BAD">
      <w:pPr>
        <w:pStyle w:val="Heading1"/>
        <w:spacing w:before="0" w:line="240" w:lineRule="auto"/>
      </w:pPr>
      <w:r>
        <w:t>Related Legislation</w:t>
      </w:r>
    </w:p>
    <w:p w14:paraId="770B3DF3" w14:textId="77777777" w:rsidR="006B1E04" w:rsidRPr="006B1E04" w:rsidRDefault="006B1E04" w:rsidP="00744BAD">
      <w:pPr>
        <w:spacing w:after="0" w:line="240" w:lineRule="auto"/>
      </w:pPr>
    </w:p>
    <w:p w14:paraId="68DD4E75" w14:textId="67B6C4F7" w:rsidR="00513CF5" w:rsidRPr="00B946C6" w:rsidRDefault="004A5469" w:rsidP="00744BAD">
      <w:pPr>
        <w:pStyle w:val="ListParagraph"/>
        <w:numPr>
          <w:ilvl w:val="0"/>
          <w:numId w:val="9"/>
        </w:numPr>
        <w:spacing w:after="0" w:line="240" w:lineRule="auto"/>
        <w:rPr>
          <w:i/>
          <w:iCs/>
        </w:rPr>
      </w:pPr>
      <w:r>
        <w:rPr>
          <w:i/>
          <w:iCs/>
        </w:rPr>
        <w:t xml:space="preserve">Information Privacy Act 2009 </w:t>
      </w:r>
      <w:r>
        <w:t>(Qld)</w:t>
      </w:r>
      <w:r w:rsidR="00513CF5" w:rsidRPr="002A58A3">
        <w:t xml:space="preserve"> </w:t>
      </w:r>
    </w:p>
    <w:p w14:paraId="01BA09CB" w14:textId="5BAA3E0A" w:rsidR="00B946C6" w:rsidRPr="00E13510" w:rsidRDefault="00B946C6" w:rsidP="00744BAD">
      <w:pPr>
        <w:pStyle w:val="ListParagraph"/>
        <w:numPr>
          <w:ilvl w:val="0"/>
          <w:numId w:val="9"/>
        </w:numPr>
        <w:spacing w:after="0" w:line="240" w:lineRule="auto"/>
        <w:rPr>
          <w:i/>
          <w:iCs/>
        </w:rPr>
      </w:pPr>
      <w:r>
        <w:rPr>
          <w:i/>
          <w:iCs/>
        </w:rPr>
        <w:t xml:space="preserve">Security of Critical Infrastructure Act 2018 </w:t>
      </w:r>
      <w:r>
        <w:t>(</w:t>
      </w:r>
      <w:proofErr w:type="spellStart"/>
      <w:r w:rsidR="0046686A">
        <w:t>Cth</w:t>
      </w:r>
      <w:proofErr w:type="spellEnd"/>
      <w:r>
        <w:t>)</w:t>
      </w:r>
    </w:p>
    <w:p w14:paraId="427F5F67" w14:textId="77777777" w:rsidR="00E13510" w:rsidRPr="00E13510" w:rsidRDefault="00E13510" w:rsidP="00E13510">
      <w:pPr>
        <w:spacing w:after="0" w:line="240" w:lineRule="auto"/>
      </w:pPr>
    </w:p>
    <w:p w14:paraId="62F38F09" w14:textId="569A6711" w:rsidR="00513CF5" w:rsidRPr="003C34C2" w:rsidRDefault="00513CF5" w:rsidP="00744BAD">
      <w:pPr>
        <w:pStyle w:val="Heading1"/>
        <w:spacing w:before="0" w:line="240" w:lineRule="auto"/>
      </w:pPr>
      <w:r>
        <w:t>Policy Statement</w:t>
      </w:r>
    </w:p>
    <w:p w14:paraId="6358EC27" w14:textId="77777777" w:rsidR="006B1E04" w:rsidRDefault="006B1E04" w:rsidP="00744BAD">
      <w:pPr>
        <w:spacing w:after="0" w:line="240" w:lineRule="auto"/>
      </w:pPr>
    </w:p>
    <w:p w14:paraId="1177C841" w14:textId="2978C732" w:rsidR="00570958" w:rsidRDefault="00102FB8" w:rsidP="00744BAD">
      <w:pPr>
        <w:spacing w:after="0" w:line="240" w:lineRule="auto"/>
      </w:pPr>
      <w:r>
        <w:t xml:space="preserve">Urban Utilities is committed to </w:t>
      </w:r>
      <w:r w:rsidR="005B5536">
        <w:t>protecting</w:t>
      </w:r>
      <w:r w:rsidR="00925980">
        <w:t xml:space="preserve"> the</w:t>
      </w:r>
      <w:r w:rsidR="00D64B94">
        <w:t xml:space="preserve"> security of the</w:t>
      </w:r>
      <w:r w:rsidR="005B5536">
        <w:t xml:space="preserve"> information that it holds</w:t>
      </w:r>
      <w:r w:rsidR="00E8228B">
        <w:t>, including personal information</w:t>
      </w:r>
      <w:r w:rsidR="00BB27BA">
        <w:t xml:space="preserve">. </w:t>
      </w:r>
      <w:r w:rsidR="008E1BA6">
        <w:t xml:space="preserve">Urban Utilities recognises that </w:t>
      </w:r>
      <w:r w:rsidR="002B0DD5">
        <w:t xml:space="preserve">implementing </w:t>
      </w:r>
      <w:r w:rsidR="005E5817">
        <w:t xml:space="preserve">robust data breach management processes </w:t>
      </w:r>
      <w:r w:rsidR="000C7D15">
        <w:t>is</w:t>
      </w:r>
      <w:r w:rsidR="005E5817">
        <w:t xml:space="preserve"> essential to </w:t>
      </w:r>
      <w:r w:rsidR="00914192">
        <w:t>managing both security and privacy risks</w:t>
      </w:r>
      <w:r w:rsidR="001F1539">
        <w:t>.</w:t>
      </w:r>
    </w:p>
    <w:p w14:paraId="6769F80C" w14:textId="77777777" w:rsidR="00BA54A4" w:rsidRPr="00D853E4" w:rsidRDefault="00BA54A4" w:rsidP="00744BAD">
      <w:pPr>
        <w:spacing w:after="0" w:line="240" w:lineRule="auto"/>
      </w:pPr>
    </w:p>
    <w:p w14:paraId="726232CC" w14:textId="0955AF81" w:rsidR="00513CF5" w:rsidRPr="00513CF5" w:rsidRDefault="00FE4301" w:rsidP="00744BAD">
      <w:pPr>
        <w:pStyle w:val="PolicySubheading"/>
        <w:numPr>
          <w:ilvl w:val="0"/>
          <w:numId w:val="0"/>
        </w:numPr>
        <w:spacing w:after="0" w:line="240" w:lineRule="auto"/>
      </w:pPr>
      <w:r>
        <w:t>Identifying Data Breaches</w:t>
      </w:r>
    </w:p>
    <w:p w14:paraId="6E3870DA" w14:textId="77777777" w:rsidR="006B1E04" w:rsidRDefault="006B1E04" w:rsidP="00744BAD">
      <w:pPr>
        <w:spacing w:after="0" w:line="240" w:lineRule="auto"/>
      </w:pPr>
    </w:p>
    <w:p w14:paraId="5496212F" w14:textId="10C140BF" w:rsidR="00FE4301" w:rsidRDefault="008E0721" w:rsidP="00744BAD">
      <w:pPr>
        <w:spacing w:after="0" w:line="240" w:lineRule="auto"/>
      </w:pPr>
      <w:r>
        <w:t xml:space="preserve">Urban Utilities has implemented </w:t>
      </w:r>
      <w:r w:rsidR="00FB6A78">
        <w:t xml:space="preserve">and </w:t>
      </w:r>
      <w:r w:rsidR="00BD29B5">
        <w:t xml:space="preserve">is continually improving </w:t>
      </w:r>
      <w:r w:rsidR="00EC179F">
        <w:t>controls</w:t>
      </w:r>
      <w:r>
        <w:t xml:space="preserve"> to </w:t>
      </w:r>
      <w:r w:rsidR="00CF4413">
        <w:t xml:space="preserve">support timely </w:t>
      </w:r>
      <w:r w:rsidR="00E725CB">
        <w:t xml:space="preserve">prevention, </w:t>
      </w:r>
      <w:r w:rsidR="00CF4413">
        <w:t xml:space="preserve">identification </w:t>
      </w:r>
      <w:r w:rsidR="00F652BB">
        <w:t xml:space="preserve">and mitigation </w:t>
      </w:r>
      <w:r w:rsidR="00CF4413">
        <w:t>of data breaches. These includ</w:t>
      </w:r>
      <w:r w:rsidR="00D04AF5">
        <w:t>e</w:t>
      </w:r>
      <w:r w:rsidR="00ED1112">
        <w:t>:</w:t>
      </w:r>
    </w:p>
    <w:p w14:paraId="67AB9C18" w14:textId="77777777" w:rsidR="00DB6758" w:rsidRDefault="00DB6758" w:rsidP="00744BAD">
      <w:pPr>
        <w:spacing w:after="0" w:line="240" w:lineRule="auto"/>
      </w:pPr>
    </w:p>
    <w:p w14:paraId="1AC5654F" w14:textId="17D9EA6C" w:rsidR="00053F7D" w:rsidRDefault="00DB6758" w:rsidP="00744BAD">
      <w:pPr>
        <w:pStyle w:val="ListParagraph"/>
        <w:numPr>
          <w:ilvl w:val="0"/>
          <w:numId w:val="11"/>
        </w:numPr>
        <w:spacing w:after="0" w:line="240" w:lineRule="auto"/>
      </w:pPr>
      <w:r>
        <w:t>information security</w:t>
      </w:r>
      <w:r w:rsidR="00B47357">
        <w:t xml:space="preserve">, </w:t>
      </w:r>
      <w:r>
        <w:t>cyber security</w:t>
      </w:r>
      <w:r w:rsidR="00B47357">
        <w:t xml:space="preserve"> and privacy</w:t>
      </w:r>
      <w:r w:rsidR="00AE3233">
        <w:t xml:space="preserve"> protection</w:t>
      </w:r>
      <w:r w:rsidR="00E111D0">
        <w:t xml:space="preserve"> </w:t>
      </w:r>
      <w:proofErr w:type="gramStart"/>
      <w:r w:rsidR="00EC179F">
        <w:t>processes</w:t>
      </w:r>
      <w:r w:rsidR="00053F7D">
        <w:t>;</w:t>
      </w:r>
      <w:proofErr w:type="gramEnd"/>
    </w:p>
    <w:p w14:paraId="5DFF5977" w14:textId="38ABBEBA" w:rsidR="00DB6758" w:rsidRDefault="00053F7D" w:rsidP="00744BAD">
      <w:pPr>
        <w:pStyle w:val="ListParagraph"/>
        <w:numPr>
          <w:ilvl w:val="0"/>
          <w:numId w:val="11"/>
        </w:numPr>
        <w:spacing w:after="0" w:line="240" w:lineRule="auto"/>
      </w:pPr>
      <w:r>
        <w:t xml:space="preserve">security and privacy training and awareness for all staff </w:t>
      </w:r>
      <w:proofErr w:type="gramStart"/>
      <w:r>
        <w:t>members;</w:t>
      </w:r>
      <w:proofErr w:type="gramEnd"/>
      <w:r>
        <w:t xml:space="preserve"> </w:t>
      </w:r>
    </w:p>
    <w:p w14:paraId="0FA73A64" w14:textId="0BE7A7EA" w:rsidR="00053F7D" w:rsidRDefault="00BC23AC" w:rsidP="00744BAD">
      <w:pPr>
        <w:pStyle w:val="ListParagraph"/>
        <w:numPr>
          <w:ilvl w:val="0"/>
          <w:numId w:val="11"/>
        </w:numPr>
        <w:spacing w:after="0" w:line="240" w:lineRule="auto"/>
      </w:pPr>
      <w:r>
        <w:t xml:space="preserve">internal data breach reporting </w:t>
      </w:r>
      <w:r w:rsidR="001C5943">
        <w:t xml:space="preserve">and escalation </w:t>
      </w:r>
      <w:proofErr w:type="gramStart"/>
      <w:r>
        <w:t>mechanisms;</w:t>
      </w:r>
      <w:proofErr w:type="gramEnd"/>
      <w:r>
        <w:t xml:space="preserve"> </w:t>
      </w:r>
    </w:p>
    <w:p w14:paraId="33C55549" w14:textId="6A286932" w:rsidR="006F38F2" w:rsidRDefault="00AE3233" w:rsidP="00744BAD">
      <w:pPr>
        <w:pStyle w:val="ListParagraph"/>
        <w:numPr>
          <w:ilvl w:val="0"/>
          <w:numId w:val="11"/>
        </w:numPr>
        <w:spacing w:after="0" w:line="240" w:lineRule="auto"/>
      </w:pPr>
      <w:r>
        <w:t xml:space="preserve">appropriate </w:t>
      </w:r>
      <w:r w:rsidR="0046686A">
        <w:t>controls</w:t>
      </w:r>
      <w:r>
        <w:t xml:space="preserve"> including</w:t>
      </w:r>
      <w:r w:rsidR="0046686A">
        <w:t xml:space="preserve"> within </w:t>
      </w:r>
      <w:r w:rsidR="006F38F2">
        <w:t xml:space="preserve">supplier </w:t>
      </w:r>
      <w:proofErr w:type="gramStart"/>
      <w:r w:rsidR="006F38F2">
        <w:t>agreements;</w:t>
      </w:r>
      <w:proofErr w:type="gramEnd"/>
    </w:p>
    <w:p w14:paraId="22E93497" w14:textId="547D3AEC" w:rsidR="00BC23AC" w:rsidRPr="000541ED" w:rsidRDefault="00E538C1" w:rsidP="00744BAD">
      <w:pPr>
        <w:pStyle w:val="ListParagraph"/>
        <w:numPr>
          <w:ilvl w:val="0"/>
          <w:numId w:val="11"/>
        </w:numPr>
        <w:spacing w:after="0" w:line="240" w:lineRule="auto"/>
      </w:pPr>
      <w:r>
        <w:t xml:space="preserve">internal and </w:t>
      </w:r>
      <w:r w:rsidR="00CD6D6F">
        <w:t xml:space="preserve">external </w:t>
      </w:r>
      <w:r w:rsidR="00BC23AC">
        <w:t xml:space="preserve">complaints and enquiry processes </w:t>
      </w:r>
      <w:r w:rsidR="000541ED" w:rsidRPr="00E8274C">
        <w:t>and</w:t>
      </w:r>
    </w:p>
    <w:p w14:paraId="6E57395E" w14:textId="0342AB03" w:rsidR="000541ED" w:rsidRDefault="000541ED" w:rsidP="00744BAD">
      <w:pPr>
        <w:pStyle w:val="ListParagraph"/>
        <w:numPr>
          <w:ilvl w:val="0"/>
          <w:numId w:val="11"/>
        </w:numPr>
        <w:spacing w:after="0" w:line="240" w:lineRule="auto"/>
      </w:pPr>
      <w:r>
        <w:t xml:space="preserve">emergency and incident response plans. </w:t>
      </w:r>
    </w:p>
    <w:p w14:paraId="66756EA9" w14:textId="77777777" w:rsidR="00F436C3" w:rsidRDefault="00F436C3" w:rsidP="00744BAD">
      <w:pPr>
        <w:spacing w:after="0" w:line="240" w:lineRule="auto"/>
      </w:pPr>
    </w:p>
    <w:p w14:paraId="6F89B967" w14:textId="5C1FEC64" w:rsidR="00747BD9" w:rsidRDefault="00F436C3" w:rsidP="00744BAD">
      <w:pPr>
        <w:spacing w:after="0" w:line="240" w:lineRule="auto"/>
      </w:pPr>
      <w:r>
        <w:t>Where a data breach</w:t>
      </w:r>
      <w:r w:rsidR="003A691F">
        <w:t>, or suspected breach,</w:t>
      </w:r>
      <w:r>
        <w:t xml:space="preserve"> is </w:t>
      </w:r>
      <w:r w:rsidR="00C719AD">
        <w:t>identified</w:t>
      </w:r>
      <w:r w:rsidR="007E1620">
        <w:t>, Urban Utilities will take immediate action to</w:t>
      </w:r>
      <w:r w:rsidR="0060592F">
        <w:t xml:space="preserve"> </w:t>
      </w:r>
      <w:r w:rsidR="007E1620">
        <w:t xml:space="preserve">contain </w:t>
      </w:r>
      <w:r w:rsidR="003A691F">
        <w:t>the</w:t>
      </w:r>
      <w:r w:rsidR="007E1620">
        <w:t xml:space="preserve"> breach. </w:t>
      </w:r>
      <w:r w:rsidR="00B0264B">
        <w:t>Dependent on the nature</w:t>
      </w:r>
      <w:r w:rsidR="00EC179F">
        <w:t>, source</w:t>
      </w:r>
      <w:r w:rsidR="00B0264B">
        <w:t xml:space="preserve"> and scale of the data breach, </w:t>
      </w:r>
      <w:r w:rsidR="00357144">
        <w:t>relevant</w:t>
      </w:r>
      <w:r w:rsidR="00B0264B">
        <w:t xml:space="preserve"> business area teams will be engaged either on an operational or incident response basis to support containment</w:t>
      </w:r>
      <w:r w:rsidR="007B6704">
        <w:t xml:space="preserve">, </w:t>
      </w:r>
      <w:r w:rsidR="00A56E54">
        <w:t xml:space="preserve">investigation, </w:t>
      </w:r>
      <w:r w:rsidR="007B6704">
        <w:t xml:space="preserve">mitigation </w:t>
      </w:r>
      <w:r w:rsidR="00B0264B">
        <w:t>and other response activities</w:t>
      </w:r>
      <w:r w:rsidR="006F7178">
        <w:t xml:space="preserve">, including any notifications </w:t>
      </w:r>
      <w:r w:rsidR="009905AF">
        <w:t xml:space="preserve">that may be </w:t>
      </w:r>
      <w:r w:rsidR="006F7178">
        <w:t>required under</w:t>
      </w:r>
      <w:r w:rsidR="005C43E4">
        <w:t xml:space="preserve"> relevant legislation</w:t>
      </w:r>
      <w:r w:rsidR="006F7178">
        <w:t xml:space="preserve">. </w:t>
      </w:r>
      <w:r w:rsidR="00D152B9">
        <w:t xml:space="preserve">Detailed processes </w:t>
      </w:r>
      <w:r w:rsidR="00A14983">
        <w:t xml:space="preserve">and triggers </w:t>
      </w:r>
      <w:r w:rsidR="00D152B9">
        <w:t xml:space="preserve">for engagement with business teams </w:t>
      </w:r>
      <w:r w:rsidR="00B95B1E">
        <w:t xml:space="preserve">are </w:t>
      </w:r>
      <w:r w:rsidR="001F1483">
        <w:t>maintained</w:t>
      </w:r>
      <w:r w:rsidR="00B95B1E">
        <w:t xml:space="preserve"> in Urban Utilities’ Mandatory Data Breach Notification Procedure</w:t>
      </w:r>
      <w:r w:rsidR="00822779">
        <w:t xml:space="preserve"> and data breach response plans</w:t>
      </w:r>
      <w:r w:rsidR="00B95B1E">
        <w:t xml:space="preserve">. </w:t>
      </w:r>
    </w:p>
    <w:p w14:paraId="69C683F9" w14:textId="77777777" w:rsidR="0046686A" w:rsidRDefault="0046686A" w:rsidP="00744BAD">
      <w:pPr>
        <w:spacing w:after="0" w:line="240" w:lineRule="auto"/>
      </w:pPr>
    </w:p>
    <w:p w14:paraId="6E17030F" w14:textId="77777777" w:rsidR="00E13510" w:rsidRDefault="00E13510">
      <w:pPr>
        <w:rPr>
          <w:rFonts w:eastAsiaTheme="minorEastAsia"/>
          <w:b/>
          <w:color w:val="5F862A" w:themeColor="text1" w:themeShade="BF"/>
          <w:sz w:val="24"/>
          <w:szCs w:val="24"/>
        </w:rPr>
      </w:pPr>
      <w:r>
        <w:br w:type="page"/>
      </w:r>
    </w:p>
    <w:p w14:paraId="0265792F" w14:textId="2F9E7C65" w:rsidR="00FE4301" w:rsidRDefault="00FE4301" w:rsidP="00744BAD">
      <w:pPr>
        <w:pStyle w:val="PolicySubheading"/>
        <w:numPr>
          <w:ilvl w:val="0"/>
          <w:numId w:val="0"/>
        </w:numPr>
        <w:spacing w:after="0" w:line="240" w:lineRule="auto"/>
      </w:pPr>
      <w:r>
        <w:lastRenderedPageBreak/>
        <w:t>Assessing</w:t>
      </w:r>
      <w:r w:rsidR="00433472">
        <w:t xml:space="preserve"> </w:t>
      </w:r>
      <w:r>
        <w:t>Data Breaches</w:t>
      </w:r>
    </w:p>
    <w:p w14:paraId="6F355E9E" w14:textId="77777777" w:rsidR="00A30E52" w:rsidRDefault="00A30E52" w:rsidP="00744BAD">
      <w:pPr>
        <w:spacing w:after="0" w:line="240" w:lineRule="auto"/>
      </w:pPr>
    </w:p>
    <w:p w14:paraId="2C71D599" w14:textId="48BCEDF8" w:rsidR="00A30E52" w:rsidRDefault="00C24127" w:rsidP="00744BAD">
      <w:pPr>
        <w:spacing w:after="0" w:line="240" w:lineRule="auto"/>
      </w:pPr>
      <w:r>
        <w:t xml:space="preserve">If it is identified that the data breach may involve personal information, the breach will be escalated to Urban Utilities’ Privacy Team to determine whether the breach </w:t>
      </w:r>
      <w:r w:rsidR="00933D21">
        <w:t xml:space="preserve">is likely to result in serious harm to an individual and accordingly </w:t>
      </w:r>
      <w:r>
        <w:t xml:space="preserve">constitutes an eligible data breach. </w:t>
      </w:r>
      <w:r w:rsidR="005C43E4">
        <w:t xml:space="preserve">This process will take a maximum of 30 days. </w:t>
      </w:r>
      <w:r w:rsidR="00B439AE">
        <w:t xml:space="preserve">When making this determination, </w:t>
      </w:r>
      <w:r w:rsidR="007B237A">
        <w:t>the Privacy Team</w:t>
      </w:r>
      <w:r w:rsidR="00B439AE">
        <w:t xml:space="preserve"> will consider:</w:t>
      </w:r>
    </w:p>
    <w:p w14:paraId="626B84AE" w14:textId="77777777" w:rsidR="00B439AE" w:rsidRDefault="00B439AE" w:rsidP="00744BAD">
      <w:pPr>
        <w:spacing w:after="0" w:line="240" w:lineRule="auto"/>
      </w:pPr>
    </w:p>
    <w:p w14:paraId="24F25289" w14:textId="04E1A31A" w:rsidR="00B439AE" w:rsidRDefault="00B439AE" w:rsidP="00744BAD">
      <w:pPr>
        <w:pStyle w:val="ListParagraph"/>
        <w:numPr>
          <w:ilvl w:val="0"/>
          <w:numId w:val="12"/>
        </w:numPr>
        <w:spacing w:after="0" w:line="240" w:lineRule="auto"/>
      </w:pPr>
      <w:r>
        <w:t xml:space="preserve">the </w:t>
      </w:r>
      <w:r w:rsidR="0046686A">
        <w:t xml:space="preserve">kind of personal information accessed, disclosed or </w:t>
      </w:r>
      <w:proofErr w:type="gramStart"/>
      <w:r w:rsidR="0046686A">
        <w:t>lost</w:t>
      </w:r>
      <w:r w:rsidR="00903A71">
        <w:t>;</w:t>
      </w:r>
      <w:proofErr w:type="gramEnd"/>
    </w:p>
    <w:p w14:paraId="17A2EA30" w14:textId="0C0992CD" w:rsidR="0046686A" w:rsidRDefault="0046686A" w:rsidP="00744BAD">
      <w:pPr>
        <w:pStyle w:val="ListParagraph"/>
        <w:numPr>
          <w:ilvl w:val="0"/>
          <w:numId w:val="12"/>
        </w:numPr>
        <w:spacing w:after="0" w:line="240" w:lineRule="auto"/>
      </w:pPr>
      <w:r>
        <w:t xml:space="preserve">the sensitivity of the personal </w:t>
      </w:r>
      <w:proofErr w:type="gramStart"/>
      <w:r>
        <w:t>information;</w:t>
      </w:r>
      <w:proofErr w:type="gramEnd"/>
    </w:p>
    <w:p w14:paraId="728F461F" w14:textId="517F31B6" w:rsidR="00903A71" w:rsidRDefault="00903A71" w:rsidP="00744BAD">
      <w:pPr>
        <w:pStyle w:val="ListParagraph"/>
        <w:numPr>
          <w:ilvl w:val="0"/>
          <w:numId w:val="12"/>
        </w:numPr>
        <w:spacing w:after="0" w:line="240" w:lineRule="auto"/>
      </w:pPr>
      <w:r>
        <w:t xml:space="preserve">the number of individuals affected by the </w:t>
      </w:r>
      <w:proofErr w:type="gramStart"/>
      <w:r>
        <w:t>breach;</w:t>
      </w:r>
      <w:proofErr w:type="gramEnd"/>
    </w:p>
    <w:p w14:paraId="2786ED78" w14:textId="6EAC7448" w:rsidR="00903A71" w:rsidRDefault="00903A71" w:rsidP="00744BAD">
      <w:pPr>
        <w:pStyle w:val="ListParagraph"/>
        <w:numPr>
          <w:ilvl w:val="0"/>
          <w:numId w:val="12"/>
        </w:numPr>
        <w:spacing w:after="0" w:line="240" w:lineRule="auto"/>
      </w:pPr>
      <w:r>
        <w:t xml:space="preserve">the </w:t>
      </w:r>
      <w:r w:rsidR="0046686A">
        <w:t>persons or kin</w:t>
      </w:r>
      <w:r w:rsidR="00E8274C">
        <w:t>d</w:t>
      </w:r>
      <w:r w:rsidR="0046686A">
        <w:t>s of persons</w:t>
      </w:r>
      <w:r>
        <w:t xml:space="preserve"> who obtained or could obtain the personal information as a result of the breach</w:t>
      </w:r>
      <w:r w:rsidR="005C43E4">
        <w:t xml:space="preserve"> where </w:t>
      </w:r>
      <w:proofErr w:type="gramStart"/>
      <w:r w:rsidR="005C43E4">
        <w:t>known</w:t>
      </w:r>
      <w:r>
        <w:t>;</w:t>
      </w:r>
      <w:proofErr w:type="gramEnd"/>
    </w:p>
    <w:p w14:paraId="2567D3D2" w14:textId="3ABE520B" w:rsidR="00903A71" w:rsidRDefault="00903A71" w:rsidP="00744BAD">
      <w:pPr>
        <w:pStyle w:val="ListParagraph"/>
        <w:numPr>
          <w:ilvl w:val="0"/>
          <w:numId w:val="12"/>
        </w:numPr>
        <w:spacing w:after="0" w:line="240" w:lineRule="auto"/>
      </w:pPr>
      <w:r>
        <w:t xml:space="preserve">the nature of the likely </w:t>
      </w:r>
      <w:proofErr w:type="gramStart"/>
      <w:r>
        <w:t>harm;</w:t>
      </w:r>
      <w:proofErr w:type="gramEnd"/>
    </w:p>
    <w:p w14:paraId="0212981F" w14:textId="525A888D" w:rsidR="007F3B26" w:rsidRPr="007F3B26" w:rsidRDefault="007F3B26" w:rsidP="00744BAD">
      <w:pPr>
        <w:pStyle w:val="ListParagraph"/>
        <w:numPr>
          <w:ilvl w:val="0"/>
          <w:numId w:val="12"/>
        </w:numPr>
        <w:spacing w:after="0" w:line="240" w:lineRule="auto"/>
      </w:pPr>
      <w:r>
        <w:t xml:space="preserve">security measures </w:t>
      </w:r>
      <w:r w:rsidR="0046686A">
        <w:t xml:space="preserve">including the number of security measures </w:t>
      </w:r>
      <w:r>
        <w:t xml:space="preserve">protecting the personal </w:t>
      </w:r>
      <w:proofErr w:type="gramStart"/>
      <w:r>
        <w:t>information</w:t>
      </w:r>
      <w:r w:rsidR="0046686A">
        <w:t>;</w:t>
      </w:r>
      <w:proofErr w:type="gramEnd"/>
      <w:r>
        <w:t xml:space="preserve"> </w:t>
      </w:r>
    </w:p>
    <w:p w14:paraId="4300E768" w14:textId="6EFAD470" w:rsidR="00F86BD1" w:rsidRDefault="007F3B26" w:rsidP="00744BAD">
      <w:pPr>
        <w:pStyle w:val="ListParagraph"/>
        <w:numPr>
          <w:ilvl w:val="0"/>
          <w:numId w:val="12"/>
        </w:numPr>
        <w:spacing w:after="0" w:line="240" w:lineRule="auto"/>
      </w:pPr>
      <w:r>
        <w:t>the time taken to identify the breach and effectively mitigate it</w:t>
      </w:r>
      <w:r w:rsidR="00AE3233">
        <w:t>;</w:t>
      </w:r>
      <w:r w:rsidR="003F4F60">
        <w:t xml:space="preserve"> </w:t>
      </w:r>
      <w:r w:rsidR="003F4F60" w:rsidRPr="00E8274C">
        <w:t>and</w:t>
      </w:r>
    </w:p>
    <w:p w14:paraId="50D4755D" w14:textId="2D32237B" w:rsidR="003F4F60" w:rsidRDefault="003F4F60" w:rsidP="00744BAD">
      <w:pPr>
        <w:pStyle w:val="ListParagraph"/>
        <w:numPr>
          <w:ilvl w:val="0"/>
          <w:numId w:val="12"/>
        </w:numPr>
        <w:spacing w:after="0" w:line="240" w:lineRule="auto"/>
      </w:pPr>
      <w:r>
        <w:t xml:space="preserve">any other relevant </w:t>
      </w:r>
      <w:r w:rsidR="00AA4612">
        <w:t>circumstances</w:t>
      </w:r>
      <w:r w:rsidR="00D033BE">
        <w:t xml:space="preserve">. </w:t>
      </w:r>
    </w:p>
    <w:p w14:paraId="09D67889" w14:textId="77777777" w:rsidR="00BA0736" w:rsidRDefault="00BA0736" w:rsidP="00744BAD">
      <w:pPr>
        <w:spacing w:after="0" w:line="240" w:lineRule="auto"/>
      </w:pPr>
    </w:p>
    <w:p w14:paraId="572F3DAA" w14:textId="2DCADE1B" w:rsidR="00BA0736" w:rsidRDefault="007265A4" w:rsidP="00744BAD">
      <w:pPr>
        <w:spacing w:after="0" w:line="240" w:lineRule="auto"/>
      </w:pPr>
      <w:r>
        <w:t xml:space="preserve">The Privacy Team will record the </w:t>
      </w:r>
      <w:r w:rsidR="00461A2B">
        <w:t>decision</w:t>
      </w:r>
      <w:r w:rsidR="003300E1">
        <w:t xml:space="preserve">-making </w:t>
      </w:r>
      <w:proofErr w:type="gramStart"/>
      <w:r w:rsidR="00461A2B">
        <w:t>process</w:t>
      </w:r>
      <w:proofErr w:type="gramEnd"/>
      <w:r w:rsidR="00461A2B">
        <w:t xml:space="preserve"> </w:t>
      </w:r>
      <w:r w:rsidR="003300E1">
        <w:t>and</w:t>
      </w:r>
      <w:r w:rsidR="00461A2B">
        <w:t xml:space="preserve"> the outcome</w:t>
      </w:r>
      <w:r w:rsidR="009C2F46">
        <w:t xml:space="preserve"> </w:t>
      </w:r>
      <w:r w:rsidR="005F79C0">
        <w:t>involved in each data breach</w:t>
      </w:r>
      <w:r>
        <w:t xml:space="preserve"> assessmen</w:t>
      </w:r>
      <w:r w:rsidR="005F79C0">
        <w:t>t</w:t>
      </w:r>
      <w:r w:rsidR="00E1288A">
        <w:t xml:space="preserve"> and capture root cause analysis</w:t>
      </w:r>
      <w:r w:rsidR="003601AF">
        <w:t xml:space="preserve"> and corrective action</w:t>
      </w:r>
      <w:r w:rsidR="00F44688">
        <w:t>s</w:t>
      </w:r>
      <w:r w:rsidR="00E1288A">
        <w:t xml:space="preserve"> </w:t>
      </w:r>
      <w:r w:rsidR="00DA42E2">
        <w:t>information</w:t>
      </w:r>
      <w:r w:rsidR="0096455C">
        <w:t xml:space="preserve"> </w:t>
      </w:r>
      <w:r w:rsidR="00CC79A3">
        <w:t>to</w:t>
      </w:r>
      <w:r w:rsidR="0096455C">
        <w:t xml:space="preserve"> </w:t>
      </w:r>
      <w:r w:rsidR="00077967">
        <w:t>support</w:t>
      </w:r>
      <w:r w:rsidR="0096455C">
        <w:t xml:space="preserve"> </w:t>
      </w:r>
      <w:r w:rsidR="001B4E87">
        <w:t>continuous</w:t>
      </w:r>
      <w:r w:rsidR="0096455C">
        <w:t xml:space="preserve"> improvement</w:t>
      </w:r>
      <w:r w:rsidR="00CC79A3">
        <w:t xml:space="preserve"> </w:t>
      </w:r>
      <w:r w:rsidR="00447B6A">
        <w:t xml:space="preserve">and data breach prevention </w:t>
      </w:r>
      <w:r w:rsidR="00CC79A3">
        <w:t>activities.</w:t>
      </w:r>
    </w:p>
    <w:p w14:paraId="20909262" w14:textId="77777777" w:rsidR="00F86BD1" w:rsidRPr="00744BAD" w:rsidRDefault="00F86BD1" w:rsidP="00744BAD">
      <w:pPr>
        <w:spacing w:after="0" w:line="240" w:lineRule="auto"/>
        <w:rPr>
          <w:rFonts w:cs="Arial"/>
        </w:rPr>
      </w:pPr>
    </w:p>
    <w:p w14:paraId="5F2AE0FD" w14:textId="12795E8C" w:rsidR="00FE4301" w:rsidRDefault="00DC7BC5" w:rsidP="00744BAD">
      <w:pPr>
        <w:pStyle w:val="PolicySubheading"/>
        <w:numPr>
          <w:ilvl w:val="0"/>
          <w:numId w:val="0"/>
        </w:numPr>
        <w:spacing w:after="0" w:line="240" w:lineRule="auto"/>
      </w:pPr>
      <w:r>
        <w:t>Notifying</w:t>
      </w:r>
      <w:r w:rsidR="00FE4301">
        <w:t xml:space="preserve"> Data Breaches</w:t>
      </w:r>
    </w:p>
    <w:p w14:paraId="5FDC43A0" w14:textId="77777777" w:rsidR="00970F55" w:rsidRPr="00744BAD" w:rsidRDefault="00970F55" w:rsidP="00744BAD">
      <w:pPr>
        <w:spacing w:after="0" w:line="240" w:lineRule="auto"/>
        <w:rPr>
          <w:rFonts w:cs="Arial"/>
        </w:rPr>
      </w:pPr>
    </w:p>
    <w:p w14:paraId="124B18B7" w14:textId="3366FFCE" w:rsidR="00215A2C" w:rsidRDefault="00AD2E7F" w:rsidP="00744BAD">
      <w:pPr>
        <w:spacing w:after="0" w:line="240" w:lineRule="auto"/>
      </w:pPr>
      <w:r>
        <w:t xml:space="preserve">If </w:t>
      </w:r>
      <w:r w:rsidR="00A74E37">
        <w:t>Urban Utilities</w:t>
      </w:r>
      <w:r>
        <w:t xml:space="preserve"> determines that </w:t>
      </w:r>
      <w:r w:rsidR="0072428D">
        <w:t>an eligible data breach has occurred</w:t>
      </w:r>
      <w:r>
        <w:t xml:space="preserve">, </w:t>
      </w:r>
      <w:r w:rsidR="008C0A09">
        <w:t>it</w:t>
      </w:r>
      <w:r>
        <w:t xml:space="preserve"> will notify</w:t>
      </w:r>
      <w:r w:rsidR="00641C31">
        <w:t xml:space="preserve"> the Office of the Information Commissioner (OIC) and</w:t>
      </w:r>
      <w:r w:rsidR="00C05AAF">
        <w:t xml:space="preserve"> </w:t>
      </w:r>
      <w:r w:rsidR="00AD164E">
        <w:t>individuals whose personal information was disclosed, accessed or lost and</w:t>
      </w:r>
      <w:r w:rsidR="007D0C4B">
        <w:t xml:space="preserve"> any</w:t>
      </w:r>
      <w:r w:rsidR="00AD164E">
        <w:t xml:space="preserve"> other </w:t>
      </w:r>
      <w:r w:rsidR="00C05AAF">
        <w:t>affected individuals</w:t>
      </w:r>
      <w:r w:rsidR="00CB5C2F">
        <w:t xml:space="preserve"> as soon as practicable, </w:t>
      </w:r>
      <w:r w:rsidR="00AD3859">
        <w:t xml:space="preserve">unless an </w:t>
      </w:r>
      <w:r w:rsidR="00EA2688">
        <w:t>exemption</w:t>
      </w:r>
      <w:r w:rsidR="00AD3859">
        <w:t xml:space="preserve"> applies</w:t>
      </w:r>
      <w:r w:rsidR="00D11FF1">
        <w:t xml:space="preserve"> under </w:t>
      </w:r>
      <w:r w:rsidR="00BA4B18">
        <w:t xml:space="preserve">the </w:t>
      </w:r>
      <w:r w:rsidR="00BA4B18">
        <w:rPr>
          <w:i/>
          <w:iCs/>
        </w:rPr>
        <w:t>Information Privacy Act 2009</w:t>
      </w:r>
      <w:r w:rsidR="00D47A9C">
        <w:t xml:space="preserve">. </w:t>
      </w:r>
      <w:r w:rsidR="00BE0AAC">
        <w:t>These exemptions include</w:t>
      </w:r>
      <w:r w:rsidR="00F9448D">
        <w:t xml:space="preserve"> scenarios where:</w:t>
      </w:r>
    </w:p>
    <w:p w14:paraId="5AAB2BA1" w14:textId="77777777" w:rsidR="00BE0AAC" w:rsidRDefault="00BE0AAC" w:rsidP="00744BAD">
      <w:pPr>
        <w:spacing w:after="0" w:line="240" w:lineRule="auto"/>
      </w:pPr>
    </w:p>
    <w:p w14:paraId="1B49005A" w14:textId="29E2DB6B" w:rsidR="00BE0AAC" w:rsidRDefault="00F9448D" w:rsidP="00744BAD">
      <w:pPr>
        <w:pStyle w:val="ListParagraph"/>
        <w:numPr>
          <w:ilvl w:val="0"/>
          <w:numId w:val="13"/>
        </w:numPr>
        <w:spacing w:after="0" w:line="240" w:lineRule="auto"/>
      </w:pPr>
      <w:r>
        <w:t xml:space="preserve">notification is likely to prejudice an investigation that could lead to the prosecution of an offence or proceedings before a court or </w:t>
      </w:r>
      <w:proofErr w:type="gramStart"/>
      <w:r>
        <w:t>tribunal;</w:t>
      </w:r>
      <w:proofErr w:type="gramEnd"/>
    </w:p>
    <w:p w14:paraId="6BDA1857" w14:textId="1DFC8CDD" w:rsidR="00F9448D" w:rsidRDefault="00F9448D" w:rsidP="00744BAD">
      <w:pPr>
        <w:pStyle w:val="ListParagraph"/>
        <w:numPr>
          <w:ilvl w:val="0"/>
          <w:numId w:val="13"/>
        </w:numPr>
        <w:spacing w:after="0" w:line="240" w:lineRule="auto"/>
      </w:pPr>
      <w:r>
        <w:t xml:space="preserve">the eligible data breach has affected more than one </w:t>
      </w:r>
      <w:proofErr w:type="gramStart"/>
      <w:r>
        <w:t>agency</w:t>
      </w:r>
      <w:proofErr w:type="gramEnd"/>
      <w:r>
        <w:t xml:space="preserve"> and the other agency is </w:t>
      </w:r>
      <w:r w:rsidR="007F63C2">
        <w:t>providing</w:t>
      </w:r>
      <w:r>
        <w:t xml:space="preserve"> notification;</w:t>
      </w:r>
    </w:p>
    <w:p w14:paraId="6989DC11" w14:textId="460AD6AD" w:rsidR="00F9448D" w:rsidRDefault="00D93489" w:rsidP="00744BAD">
      <w:pPr>
        <w:pStyle w:val="ListParagraph"/>
        <w:numPr>
          <w:ilvl w:val="0"/>
          <w:numId w:val="13"/>
        </w:numPr>
        <w:spacing w:after="0" w:line="240" w:lineRule="auto"/>
      </w:pPr>
      <w:r>
        <w:t xml:space="preserve">remedial action has been taken to mitigate the harm before any serious harm has resulted and, as a result of the action, serious harm is no longer likely to </w:t>
      </w:r>
      <w:proofErr w:type="gramStart"/>
      <w:r>
        <w:t>result</w:t>
      </w:r>
      <w:r w:rsidR="008F6A74">
        <w:t>;</w:t>
      </w:r>
      <w:proofErr w:type="gramEnd"/>
    </w:p>
    <w:p w14:paraId="7D7DC17D" w14:textId="61DC28B6" w:rsidR="00D93489" w:rsidRDefault="00D93489" w:rsidP="00744BAD">
      <w:pPr>
        <w:pStyle w:val="ListParagraph"/>
        <w:numPr>
          <w:ilvl w:val="0"/>
          <w:numId w:val="13"/>
        </w:numPr>
        <w:spacing w:after="0" w:line="240" w:lineRule="auto"/>
      </w:pPr>
      <w:r>
        <w:t xml:space="preserve">notification would require non-compliance with another Act which prohibits or regulates the use or disclosure of </w:t>
      </w:r>
      <w:proofErr w:type="gramStart"/>
      <w:r>
        <w:t>information</w:t>
      </w:r>
      <w:r w:rsidR="008F6A74">
        <w:t>;</w:t>
      </w:r>
      <w:proofErr w:type="gramEnd"/>
    </w:p>
    <w:p w14:paraId="168584B5" w14:textId="5612BDAF" w:rsidR="00D93489" w:rsidRDefault="00D93489" w:rsidP="00744BAD">
      <w:pPr>
        <w:pStyle w:val="ListParagraph"/>
        <w:numPr>
          <w:ilvl w:val="0"/>
          <w:numId w:val="13"/>
        </w:numPr>
        <w:spacing w:after="0" w:line="240" w:lineRule="auto"/>
      </w:pPr>
      <w:r>
        <w:t xml:space="preserve">notification would create a serious risk of harm to an individual’s </w:t>
      </w:r>
      <w:r w:rsidR="000877D8">
        <w:t>health or safety</w:t>
      </w:r>
      <w:r w:rsidR="00CB5C2F">
        <w:t>;</w:t>
      </w:r>
      <w:r w:rsidR="00FB19EC">
        <w:t xml:space="preserve"> </w:t>
      </w:r>
      <w:r w:rsidR="00FB19EC">
        <w:rPr>
          <w:b/>
          <w:bCs/>
        </w:rPr>
        <w:t>or</w:t>
      </w:r>
    </w:p>
    <w:p w14:paraId="7184FC95" w14:textId="68AEC746" w:rsidR="00CB5C2F" w:rsidRDefault="00CB5C2F" w:rsidP="00744BAD">
      <w:pPr>
        <w:pStyle w:val="ListParagraph"/>
        <w:numPr>
          <w:ilvl w:val="0"/>
          <w:numId w:val="13"/>
        </w:numPr>
        <w:spacing w:after="0" w:line="240" w:lineRule="auto"/>
      </w:pPr>
      <w:r>
        <w:t xml:space="preserve">notification is likely to compromise cybersecurity or lead to further data breaches. </w:t>
      </w:r>
    </w:p>
    <w:p w14:paraId="2FEF5215" w14:textId="77777777" w:rsidR="00215A2C" w:rsidRDefault="00215A2C" w:rsidP="00744BAD">
      <w:pPr>
        <w:spacing w:after="0" w:line="240" w:lineRule="auto"/>
      </w:pPr>
    </w:p>
    <w:p w14:paraId="743E4ED6" w14:textId="230C0420" w:rsidR="00200E6F" w:rsidRDefault="00A75098" w:rsidP="00744BAD">
      <w:pPr>
        <w:spacing w:after="0" w:line="240" w:lineRule="auto"/>
      </w:pPr>
      <w:r>
        <w:t>Where</w:t>
      </w:r>
      <w:r w:rsidR="007E181E">
        <w:t xml:space="preserve"> no </w:t>
      </w:r>
      <w:r w:rsidR="009279A9">
        <w:t>exemption</w:t>
      </w:r>
      <w:r w:rsidR="007E181E">
        <w:t xml:space="preserve"> applies, but</w:t>
      </w:r>
      <w:r>
        <w:t xml:space="preserve"> it is not practical to notify</w:t>
      </w:r>
      <w:r w:rsidR="002E4175">
        <w:t xml:space="preserve"> </w:t>
      </w:r>
      <w:r w:rsidR="00D93489">
        <w:t>individuals</w:t>
      </w:r>
      <w:r>
        <w:t xml:space="preserve"> </w:t>
      </w:r>
      <w:r w:rsidR="00413357">
        <w:t>directly</w:t>
      </w:r>
      <w:r w:rsidR="002E4175">
        <w:t>,</w:t>
      </w:r>
      <w:r w:rsidR="00C7116F">
        <w:t xml:space="preserve"> </w:t>
      </w:r>
      <w:r w:rsidR="007724D3">
        <w:t xml:space="preserve">Urban Utilities will </w:t>
      </w:r>
      <w:r w:rsidR="008F6A74">
        <w:t xml:space="preserve">notify the OIC and </w:t>
      </w:r>
      <w:r w:rsidR="00987B1D">
        <w:t xml:space="preserve">make </w:t>
      </w:r>
      <w:r w:rsidR="007724D3">
        <w:t>information</w:t>
      </w:r>
      <w:r w:rsidR="007B37B6">
        <w:t>, other than information that would prejudice Urban Utilities’ functions,</w:t>
      </w:r>
      <w:r w:rsidR="007724D3">
        <w:t xml:space="preserve"> </w:t>
      </w:r>
      <w:r w:rsidR="00DF2EE1">
        <w:t xml:space="preserve">available </w:t>
      </w:r>
      <w:r w:rsidR="007724D3">
        <w:t xml:space="preserve">about the breach on its website for </w:t>
      </w:r>
      <w:r w:rsidR="00D74628">
        <w:t xml:space="preserve">12 months. </w:t>
      </w:r>
    </w:p>
    <w:p w14:paraId="22B6F3BB" w14:textId="77777777" w:rsidR="00200E6F" w:rsidRDefault="00200E6F" w:rsidP="00744BAD">
      <w:pPr>
        <w:spacing w:after="0" w:line="240" w:lineRule="auto"/>
      </w:pPr>
    </w:p>
    <w:p w14:paraId="5A766C32" w14:textId="4902A847" w:rsidR="00EC36DE" w:rsidRDefault="00553008" w:rsidP="00744BAD">
      <w:pPr>
        <w:spacing w:after="0" w:line="240" w:lineRule="auto"/>
      </w:pPr>
      <w:r>
        <w:t xml:space="preserve">If </w:t>
      </w:r>
      <w:r w:rsidR="00755B21">
        <w:t>Urban Utilitie</w:t>
      </w:r>
      <w:r w:rsidR="006261EE">
        <w:t xml:space="preserve">s </w:t>
      </w:r>
      <w:r>
        <w:t>determines that a</w:t>
      </w:r>
      <w:r w:rsidR="004B25DC">
        <w:t xml:space="preserve"> data breach is not an eligible data breach </w:t>
      </w:r>
      <w:r>
        <w:t>because it is not likely to result in serious harm</w:t>
      </w:r>
      <w:r w:rsidR="00BC342D">
        <w:t xml:space="preserve"> to an individual</w:t>
      </w:r>
      <w:r>
        <w:t xml:space="preserve">, it </w:t>
      </w:r>
      <w:r w:rsidR="006261EE">
        <w:t xml:space="preserve">will </w:t>
      </w:r>
      <w:r w:rsidR="00AE3233">
        <w:t xml:space="preserve">still </w:t>
      </w:r>
      <w:r w:rsidR="006261EE">
        <w:t>endeavour to notify individuals of data breaches involving their personal information</w:t>
      </w:r>
      <w:r w:rsidR="00D6676A">
        <w:t>. This notification will be provided</w:t>
      </w:r>
      <w:r w:rsidR="006261EE">
        <w:t xml:space="preserve"> where</w:t>
      </w:r>
      <w:r w:rsidR="009E571E">
        <w:t xml:space="preserve"> </w:t>
      </w:r>
      <w:r w:rsidR="00D6676A">
        <w:t>Urban Utilities</w:t>
      </w:r>
      <w:r w:rsidR="009E571E">
        <w:t xml:space="preserve"> considers it is</w:t>
      </w:r>
      <w:r w:rsidR="006261EE">
        <w:t xml:space="preserve"> </w:t>
      </w:r>
      <w:r w:rsidR="009E571E">
        <w:t>practical</w:t>
      </w:r>
      <w:r w:rsidR="006A5CF1">
        <w:t xml:space="preserve"> and</w:t>
      </w:r>
      <w:r w:rsidR="00CE3F66">
        <w:t xml:space="preserve"> </w:t>
      </w:r>
      <w:r w:rsidR="009E571E">
        <w:t>reasonable</w:t>
      </w:r>
      <w:r w:rsidR="006261EE">
        <w:t xml:space="preserve"> to do so</w:t>
      </w:r>
      <w:r w:rsidR="006A5CF1">
        <w:t xml:space="preserve"> and notification is unlikely to create risk for </w:t>
      </w:r>
      <w:r w:rsidR="00D6676A">
        <w:t xml:space="preserve">the </w:t>
      </w:r>
      <w:r w:rsidR="006A5CF1">
        <w:t>security</w:t>
      </w:r>
      <w:r w:rsidR="00D6676A">
        <w:t xml:space="preserve"> of Urban Utilities’ </w:t>
      </w:r>
      <w:r w:rsidR="00676071">
        <w:t>information</w:t>
      </w:r>
      <w:r w:rsidR="0007083E">
        <w:t xml:space="preserve"> and systems</w:t>
      </w:r>
      <w:r w:rsidR="006A5CF1">
        <w:t xml:space="preserve"> or an individual’s safety. </w:t>
      </w:r>
    </w:p>
    <w:p w14:paraId="4991109D" w14:textId="77777777" w:rsidR="00321A21" w:rsidRDefault="00321A21" w:rsidP="00744BAD">
      <w:pPr>
        <w:spacing w:after="0" w:line="240" w:lineRule="auto"/>
      </w:pPr>
    </w:p>
    <w:p w14:paraId="070FD8DA" w14:textId="77777777" w:rsidR="00A330DB" w:rsidRDefault="00A330DB">
      <w:r>
        <w:br w:type="page"/>
      </w:r>
    </w:p>
    <w:p w14:paraId="293E1458" w14:textId="4883E5B3" w:rsidR="00321A21" w:rsidRDefault="00BB3C8A" w:rsidP="00744BAD">
      <w:pPr>
        <w:spacing w:after="0" w:line="240" w:lineRule="auto"/>
      </w:pPr>
      <w:r>
        <w:lastRenderedPageBreak/>
        <w:t xml:space="preserve">Individuals may make a privacy complaint </w:t>
      </w:r>
      <w:r w:rsidR="00263F06">
        <w:t xml:space="preserve">in relation to a data breach </w:t>
      </w:r>
      <w:r>
        <w:t xml:space="preserve">by contacting Urban Utilities via email to </w:t>
      </w:r>
      <w:hyperlink r:id="rId11" w:history="1">
        <w:r w:rsidRPr="002C47AD">
          <w:rPr>
            <w:rStyle w:val="Hyperlink"/>
          </w:rPr>
          <w:t>UrbanUtilities.information@urbanutilities.com.au</w:t>
        </w:r>
      </w:hyperlink>
      <w:r>
        <w:t xml:space="preserve"> or via mail to:</w:t>
      </w:r>
    </w:p>
    <w:p w14:paraId="260C9919" w14:textId="77777777" w:rsidR="00BB3C8A" w:rsidRDefault="00BB3C8A" w:rsidP="00744BAD">
      <w:pPr>
        <w:spacing w:after="0" w:line="240" w:lineRule="auto"/>
      </w:pPr>
    </w:p>
    <w:p w14:paraId="3A90B91E" w14:textId="200F566E" w:rsidR="00BB3C8A" w:rsidRPr="00E8274C" w:rsidRDefault="00BB3C8A" w:rsidP="00744BAD">
      <w:pPr>
        <w:spacing w:after="0" w:line="240" w:lineRule="auto"/>
        <w:ind w:left="720"/>
        <w:rPr>
          <w:sz w:val="20"/>
          <w:szCs w:val="20"/>
        </w:rPr>
      </w:pPr>
      <w:r w:rsidRPr="00E8274C">
        <w:rPr>
          <w:sz w:val="20"/>
          <w:szCs w:val="20"/>
        </w:rPr>
        <w:t>Urban Utilities</w:t>
      </w:r>
    </w:p>
    <w:p w14:paraId="72A45863" w14:textId="0F13ED90" w:rsidR="0098569F" w:rsidRPr="00E8274C" w:rsidRDefault="0098569F" w:rsidP="00744BAD">
      <w:pPr>
        <w:spacing w:after="0" w:line="240" w:lineRule="auto"/>
        <w:ind w:left="720"/>
        <w:rPr>
          <w:sz w:val="20"/>
          <w:szCs w:val="20"/>
        </w:rPr>
      </w:pPr>
      <w:r w:rsidRPr="00E8274C">
        <w:rPr>
          <w:sz w:val="20"/>
          <w:szCs w:val="20"/>
        </w:rPr>
        <w:t>Att</w:t>
      </w:r>
      <w:r w:rsidR="00823B2F" w:rsidRPr="00E8274C">
        <w:rPr>
          <w:sz w:val="20"/>
          <w:szCs w:val="20"/>
        </w:rPr>
        <w:t>ention</w:t>
      </w:r>
      <w:r w:rsidRPr="00E8274C">
        <w:rPr>
          <w:sz w:val="20"/>
          <w:szCs w:val="20"/>
        </w:rPr>
        <w:t xml:space="preserve"> RTI and Privacy Team</w:t>
      </w:r>
    </w:p>
    <w:p w14:paraId="76E03DD1" w14:textId="0DA8600B" w:rsidR="00BB3C8A" w:rsidRPr="00E8274C" w:rsidRDefault="00BB3C8A" w:rsidP="00744BAD">
      <w:pPr>
        <w:spacing w:after="0" w:line="240" w:lineRule="auto"/>
        <w:ind w:left="720"/>
        <w:rPr>
          <w:sz w:val="20"/>
          <w:szCs w:val="20"/>
        </w:rPr>
      </w:pPr>
      <w:r w:rsidRPr="00E8274C">
        <w:rPr>
          <w:sz w:val="20"/>
          <w:szCs w:val="20"/>
        </w:rPr>
        <w:t>GPO Box 2765</w:t>
      </w:r>
    </w:p>
    <w:p w14:paraId="39314209" w14:textId="281B794F" w:rsidR="00BB3C8A" w:rsidRPr="00E8274C" w:rsidRDefault="00BB3C8A" w:rsidP="00744BAD">
      <w:pPr>
        <w:spacing w:after="0" w:line="240" w:lineRule="auto"/>
        <w:ind w:left="720"/>
        <w:rPr>
          <w:sz w:val="20"/>
          <w:szCs w:val="20"/>
        </w:rPr>
      </w:pPr>
      <w:r w:rsidRPr="00E8274C">
        <w:rPr>
          <w:sz w:val="20"/>
          <w:szCs w:val="20"/>
        </w:rPr>
        <w:t>Brisbane QLD 4001</w:t>
      </w:r>
    </w:p>
    <w:p w14:paraId="5C46CDEA" w14:textId="77777777" w:rsidR="00E276EA" w:rsidRDefault="00E276EA" w:rsidP="00744BAD">
      <w:pPr>
        <w:spacing w:after="0" w:line="240" w:lineRule="auto"/>
      </w:pPr>
    </w:p>
    <w:p w14:paraId="47DC03FD" w14:textId="6D4954D6" w:rsidR="00E276EA" w:rsidRDefault="00E276EA" w:rsidP="00744BAD">
      <w:pPr>
        <w:spacing w:after="0" w:line="240" w:lineRule="auto"/>
      </w:pPr>
      <w:r>
        <w:t xml:space="preserve">Urban Utilities will respond within 45 business days after the complaint is received. </w:t>
      </w:r>
    </w:p>
    <w:p w14:paraId="3700B6F7" w14:textId="77777777" w:rsidR="00CE3F66" w:rsidRPr="0022319C" w:rsidRDefault="00CE3F66" w:rsidP="00744BAD">
      <w:pPr>
        <w:spacing w:after="0" w:line="240" w:lineRule="auto"/>
      </w:pPr>
    </w:p>
    <w:p w14:paraId="0FCDA475" w14:textId="2F378A20" w:rsidR="00FE4301" w:rsidRDefault="008332E6" w:rsidP="00744BAD">
      <w:pPr>
        <w:pStyle w:val="PolicySubheading"/>
        <w:numPr>
          <w:ilvl w:val="0"/>
          <w:numId w:val="0"/>
        </w:numPr>
        <w:spacing w:after="0" w:line="240" w:lineRule="auto"/>
      </w:pPr>
      <w:r>
        <w:t xml:space="preserve">Recording </w:t>
      </w:r>
      <w:r w:rsidR="00281EF8">
        <w:t>Data Br</w:t>
      </w:r>
      <w:r w:rsidR="0014719A">
        <w:t>eaches</w:t>
      </w:r>
      <w:r w:rsidR="00981DBB">
        <w:t xml:space="preserve"> </w:t>
      </w:r>
    </w:p>
    <w:p w14:paraId="72CBC6B3" w14:textId="77777777" w:rsidR="00570958" w:rsidRPr="00744BAD" w:rsidRDefault="00570958" w:rsidP="00744BAD">
      <w:pPr>
        <w:spacing w:after="0" w:line="240" w:lineRule="auto"/>
        <w:rPr>
          <w:rFonts w:cs="Arial"/>
        </w:rPr>
      </w:pPr>
    </w:p>
    <w:p w14:paraId="0DCAD853" w14:textId="4A53C5D0" w:rsidR="00513CF5" w:rsidRPr="00852912" w:rsidRDefault="00F15048" w:rsidP="00744BAD">
      <w:pPr>
        <w:spacing w:after="0" w:line="240" w:lineRule="auto"/>
        <w:rPr>
          <w:rFonts w:cs="Arial"/>
        </w:rPr>
      </w:pPr>
      <w:r>
        <w:t xml:space="preserve">Urban Utilities will maintain a data breach register </w:t>
      </w:r>
      <w:r w:rsidR="000A3844">
        <w:t xml:space="preserve">to record information for each eligible data </w:t>
      </w:r>
      <w:r w:rsidR="000A3844" w:rsidRPr="00852912">
        <w:rPr>
          <w:rFonts w:cs="Arial"/>
        </w:rPr>
        <w:t>breach</w:t>
      </w:r>
      <w:r w:rsidR="0030333C" w:rsidRPr="00852912">
        <w:rPr>
          <w:rFonts w:cs="Arial"/>
        </w:rPr>
        <w:t xml:space="preserve">, including </w:t>
      </w:r>
      <w:r w:rsidR="007B6704" w:rsidRPr="00852912">
        <w:rPr>
          <w:rFonts w:cs="Arial"/>
        </w:rPr>
        <w:t>details of any notifications to individuals or the OIC,</w:t>
      </w:r>
      <w:r w:rsidR="00C45642">
        <w:rPr>
          <w:rFonts w:cs="Arial"/>
        </w:rPr>
        <w:t xml:space="preserve"> any applicable exemptions,</w:t>
      </w:r>
      <w:r w:rsidR="007B6704" w:rsidRPr="00852912">
        <w:rPr>
          <w:rFonts w:cs="Arial"/>
        </w:rPr>
        <w:t xml:space="preserve"> steps it has taken to contain and mitigate the br</w:t>
      </w:r>
      <w:r w:rsidR="006573D9" w:rsidRPr="00852912">
        <w:rPr>
          <w:rFonts w:cs="Arial"/>
        </w:rPr>
        <w:t>e</w:t>
      </w:r>
      <w:r w:rsidR="007B6704" w:rsidRPr="00852912">
        <w:rPr>
          <w:rFonts w:cs="Arial"/>
        </w:rPr>
        <w:t xml:space="preserve">ach </w:t>
      </w:r>
      <w:r w:rsidR="00852912">
        <w:rPr>
          <w:rFonts w:cs="Arial"/>
        </w:rPr>
        <w:t xml:space="preserve">and actions taken to prevent future breaches of a similar kind occurring. </w:t>
      </w:r>
    </w:p>
    <w:p w14:paraId="645C0EB9" w14:textId="77777777" w:rsidR="00F15048" w:rsidRPr="00852912" w:rsidRDefault="00F15048" w:rsidP="00744BAD">
      <w:pPr>
        <w:spacing w:after="0" w:line="240" w:lineRule="auto"/>
        <w:rPr>
          <w:rFonts w:cs="Arial"/>
        </w:rPr>
      </w:pPr>
    </w:p>
    <w:p w14:paraId="6A5716A0" w14:textId="3B635F10" w:rsidR="00513CF5" w:rsidRPr="00852912" w:rsidRDefault="00513CF5" w:rsidP="00744BAD">
      <w:pPr>
        <w:pStyle w:val="Heading1"/>
        <w:spacing w:before="0" w:line="240" w:lineRule="auto"/>
        <w:rPr>
          <w:rFonts w:cs="Arial"/>
        </w:rPr>
      </w:pPr>
      <w:r w:rsidRPr="00852912">
        <w:rPr>
          <w:rFonts w:cs="Arial"/>
        </w:rPr>
        <w:t>Definitions</w:t>
      </w:r>
    </w:p>
    <w:p w14:paraId="6E42C44C" w14:textId="77777777" w:rsidR="006B1E04" w:rsidRPr="00852912" w:rsidRDefault="006B1E04" w:rsidP="00744BAD">
      <w:pPr>
        <w:spacing w:after="0" w:line="240" w:lineRule="auto"/>
        <w:rPr>
          <w:rFonts w:cs="Arial"/>
        </w:rPr>
      </w:pPr>
    </w:p>
    <w:tbl>
      <w:tblPr>
        <w:tblW w:w="9639" w:type="dxa"/>
        <w:tblLook w:val="04A0" w:firstRow="1" w:lastRow="0" w:firstColumn="1" w:lastColumn="0" w:noHBand="0" w:noVBand="1"/>
      </w:tblPr>
      <w:tblGrid>
        <w:gridCol w:w="2660"/>
        <w:gridCol w:w="6979"/>
      </w:tblGrid>
      <w:tr w:rsidR="00513CF5" w:rsidRPr="00852912" w14:paraId="78EE7CE2" w14:textId="77777777" w:rsidTr="002E430A">
        <w:tc>
          <w:tcPr>
            <w:tcW w:w="2660" w:type="dxa"/>
          </w:tcPr>
          <w:p w14:paraId="2A0BF170" w14:textId="1F1FBA23" w:rsidR="00513CF5" w:rsidRPr="00852912" w:rsidRDefault="006F3131" w:rsidP="00744BAD">
            <w:pPr>
              <w:spacing w:after="0" w:line="240" w:lineRule="auto"/>
              <w:rPr>
                <w:rFonts w:cs="Arial"/>
                <w:sz w:val="20"/>
                <w:szCs w:val="20"/>
              </w:rPr>
            </w:pPr>
            <w:r w:rsidRPr="00852912">
              <w:rPr>
                <w:rFonts w:cs="Arial"/>
                <w:b/>
                <w:bCs/>
                <w:sz w:val="20"/>
                <w:szCs w:val="20"/>
              </w:rPr>
              <w:t>Control</w:t>
            </w:r>
          </w:p>
        </w:tc>
        <w:tc>
          <w:tcPr>
            <w:tcW w:w="6979" w:type="dxa"/>
          </w:tcPr>
          <w:p w14:paraId="273A0C16" w14:textId="48A41B09" w:rsidR="00513CF5" w:rsidRPr="00E725CB" w:rsidRDefault="006F3131" w:rsidP="00744BAD">
            <w:pPr>
              <w:tabs>
                <w:tab w:val="right" w:pos="6763"/>
              </w:tabs>
              <w:spacing w:after="0" w:line="240" w:lineRule="auto"/>
              <w:rPr>
                <w:rFonts w:cs="Arial"/>
                <w:sz w:val="20"/>
                <w:szCs w:val="20"/>
              </w:rPr>
            </w:pPr>
            <w:r w:rsidRPr="00E725CB">
              <w:rPr>
                <w:rFonts w:cs="Arial"/>
                <w:sz w:val="20"/>
                <w:szCs w:val="20"/>
              </w:rPr>
              <w:t xml:space="preserve">A prevention, detection or response measure to reduce the likelihood or impact of a data breach. </w:t>
            </w:r>
          </w:p>
        </w:tc>
      </w:tr>
      <w:tr w:rsidR="006F3131" w:rsidRPr="00852912" w14:paraId="4239CC22" w14:textId="77777777" w:rsidTr="002E430A">
        <w:tc>
          <w:tcPr>
            <w:tcW w:w="2660" w:type="dxa"/>
          </w:tcPr>
          <w:p w14:paraId="18BC4F88" w14:textId="1DAFCD09" w:rsidR="006F3131" w:rsidRPr="00852912" w:rsidRDefault="006F3131" w:rsidP="00744BAD">
            <w:pPr>
              <w:spacing w:after="0" w:line="240" w:lineRule="auto"/>
              <w:rPr>
                <w:rFonts w:cs="Arial"/>
                <w:b/>
                <w:bCs/>
                <w:sz w:val="20"/>
                <w:szCs w:val="20"/>
              </w:rPr>
            </w:pPr>
            <w:r w:rsidRPr="00852912">
              <w:rPr>
                <w:rFonts w:cs="Arial"/>
                <w:b/>
                <w:bCs/>
                <w:sz w:val="20"/>
                <w:szCs w:val="20"/>
              </w:rPr>
              <w:t>Data breach</w:t>
            </w:r>
          </w:p>
        </w:tc>
        <w:tc>
          <w:tcPr>
            <w:tcW w:w="6979" w:type="dxa"/>
          </w:tcPr>
          <w:p w14:paraId="0B43C719" w14:textId="7C5983DE" w:rsidR="006F3131" w:rsidRPr="00852912" w:rsidRDefault="006F3131" w:rsidP="00744BAD">
            <w:pPr>
              <w:tabs>
                <w:tab w:val="right" w:pos="6763"/>
              </w:tabs>
              <w:spacing w:after="0" w:line="240" w:lineRule="auto"/>
              <w:rPr>
                <w:rFonts w:cs="Arial"/>
                <w:sz w:val="20"/>
                <w:szCs w:val="20"/>
              </w:rPr>
            </w:pPr>
            <w:r w:rsidRPr="00852912">
              <w:rPr>
                <w:rFonts w:cs="Arial"/>
                <w:sz w:val="20"/>
                <w:szCs w:val="20"/>
              </w:rPr>
              <w:t>Unauthorised access to or disclosure of information or</w:t>
            </w:r>
            <w:r w:rsidRPr="00852912">
              <w:rPr>
                <w:rFonts w:cs="Arial"/>
                <w:b/>
                <w:bCs/>
                <w:sz w:val="20"/>
                <w:szCs w:val="20"/>
              </w:rPr>
              <w:t xml:space="preserve"> </w:t>
            </w:r>
            <w:r w:rsidRPr="00852912">
              <w:rPr>
                <w:rFonts w:cs="Arial"/>
                <w:sz w:val="20"/>
                <w:szCs w:val="20"/>
              </w:rPr>
              <w:t xml:space="preserve">loss of information in circumstances where unauthorised access or disclosure is likely to occur. </w:t>
            </w:r>
            <w:r w:rsidRPr="00852912">
              <w:rPr>
                <w:rFonts w:cs="Arial"/>
                <w:sz w:val="20"/>
                <w:szCs w:val="20"/>
              </w:rPr>
              <w:tab/>
            </w:r>
          </w:p>
        </w:tc>
      </w:tr>
      <w:tr w:rsidR="006F3131" w:rsidRPr="00852912" w14:paraId="2D267F74" w14:textId="77777777" w:rsidTr="002E430A">
        <w:tc>
          <w:tcPr>
            <w:tcW w:w="2660" w:type="dxa"/>
          </w:tcPr>
          <w:p w14:paraId="7039E295" w14:textId="7DAB3584" w:rsidR="006F3131" w:rsidRPr="00852912" w:rsidRDefault="006F3131" w:rsidP="00744BAD">
            <w:pPr>
              <w:spacing w:after="0" w:line="240" w:lineRule="auto"/>
              <w:rPr>
                <w:rFonts w:cs="Arial"/>
                <w:b/>
                <w:bCs/>
                <w:sz w:val="20"/>
                <w:szCs w:val="20"/>
              </w:rPr>
            </w:pPr>
            <w:r w:rsidRPr="00852912">
              <w:rPr>
                <w:rFonts w:cs="Arial"/>
                <w:b/>
                <w:bCs/>
                <w:sz w:val="20"/>
                <w:szCs w:val="20"/>
              </w:rPr>
              <w:t>Eligible data breach</w:t>
            </w:r>
          </w:p>
        </w:tc>
        <w:tc>
          <w:tcPr>
            <w:tcW w:w="6979" w:type="dxa"/>
          </w:tcPr>
          <w:p w14:paraId="77B67153" w14:textId="2126FE24" w:rsidR="006F3131" w:rsidRPr="00852912" w:rsidRDefault="006F3131" w:rsidP="00744BAD">
            <w:pPr>
              <w:spacing w:after="0" w:line="240" w:lineRule="auto"/>
              <w:rPr>
                <w:rFonts w:cs="Arial"/>
                <w:b/>
                <w:bCs/>
                <w:sz w:val="20"/>
                <w:szCs w:val="20"/>
              </w:rPr>
            </w:pPr>
            <w:r w:rsidRPr="00852912">
              <w:rPr>
                <w:rFonts w:cs="Arial"/>
                <w:sz w:val="20"/>
                <w:szCs w:val="20"/>
              </w:rPr>
              <w:t xml:space="preserve">A data breach which (a) involves personal information and (b) is likely to result in serious harm to an individual to whom the personal information relates. </w:t>
            </w:r>
          </w:p>
        </w:tc>
      </w:tr>
      <w:tr w:rsidR="006F3131" w:rsidRPr="00852912" w14:paraId="2A7CF5F2" w14:textId="77777777" w:rsidTr="002E430A">
        <w:tc>
          <w:tcPr>
            <w:tcW w:w="2660" w:type="dxa"/>
          </w:tcPr>
          <w:p w14:paraId="38F45A2F" w14:textId="39C96BA1" w:rsidR="006F3131" w:rsidRPr="00852912" w:rsidRDefault="006F3131" w:rsidP="00744BAD">
            <w:pPr>
              <w:spacing w:after="0" w:line="240" w:lineRule="auto"/>
              <w:rPr>
                <w:rFonts w:cs="Arial"/>
                <w:b/>
                <w:bCs/>
                <w:sz w:val="20"/>
                <w:szCs w:val="20"/>
              </w:rPr>
            </w:pPr>
            <w:r w:rsidRPr="00852912">
              <w:rPr>
                <w:rFonts w:cs="Arial"/>
                <w:b/>
                <w:bCs/>
                <w:sz w:val="20"/>
                <w:szCs w:val="20"/>
              </w:rPr>
              <w:t xml:space="preserve">Personal information </w:t>
            </w:r>
          </w:p>
        </w:tc>
        <w:tc>
          <w:tcPr>
            <w:tcW w:w="6979" w:type="dxa"/>
          </w:tcPr>
          <w:p w14:paraId="11349D23" w14:textId="5B4246D0" w:rsidR="006F3131" w:rsidRPr="00852912" w:rsidRDefault="006F3131" w:rsidP="00744BAD">
            <w:pPr>
              <w:spacing w:after="0" w:line="240" w:lineRule="auto"/>
              <w:rPr>
                <w:rFonts w:cs="Arial"/>
                <w:sz w:val="20"/>
                <w:szCs w:val="20"/>
              </w:rPr>
            </w:pPr>
            <w:r w:rsidRPr="00852912">
              <w:rPr>
                <w:rFonts w:cs="Arial"/>
                <w:sz w:val="20"/>
                <w:szCs w:val="20"/>
              </w:rPr>
              <w:t>Information or an opinion about an identified individual or an individual who is reasonably identifiable from the information or opinion (a) whether the information or opinion is true or not and (b) whether the information or opinion is recorded in a material form or not.</w:t>
            </w:r>
          </w:p>
        </w:tc>
      </w:tr>
    </w:tbl>
    <w:p w14:paraId="52EB9ECF" w14:textId="77777777" w:rsidR="00513CF5" w:rsidRPr="006B1E04" w:rsidRDefault="00513CF5" w:rsidP="00744BAD">
      <w:pPr>
        <w:spacing w:after="0" w:line="240" w:lineRule="auto"/>
      </w:pPr>
    </w:p>
    <w:p w14:paraId="6D0B2A52" w14:textId="78C23169" w:rsidR="00513CF5" w:rsidRPr="00513CF5" w:rsidRDefault="00513CF5" w:rsidP="00744BAD">
      <w:pPr>
        <w:pStyle w:val="Heading1"/>
        <w:spacing w:before="0" w:line="240" w:lineRule="auto"/>
      </w:pPr>
      <w:r>
        <w:t>Related Documents</w:t>
      </w:r>
    </w:p>
    <w:p w14:paraId="5FFDC41D" w14:textId="77777777" w:rsidR="00A772A2" w:rsidRPr="00D853E4" w:rsidRDefault="00A772A2" w:rsidP="00744BAD">
      <w:pPr>
        <w:spacing w:after="0" w:line="240" w:lineRule="auto"/>
      </w:pPr>
    </w:p>
    <w:p w14:paraId="73C74AE1" w14:textId="7FDFBFA2" w:rsidR="00A772A2" w:rsidRDefault="00A772A2" w:rsidP="00744BAD">
      <w:pPr>
        <w:pStyle w:val="PolicySubheading"/>
        <w:spacing w:after="0" w:line="240" w:lineRule="auto"/>
      </w:pPr>
      <w:r>
        <w:t>Internal Documents</w:t>
      </w:r>
    </w:p>
    <w:p w14:paraId="305CF6D8" w14:textId="77777777" w:rsidR="00823B2F" w:rsidRPr="00744BAD" w:rsidRDefault="00823B2F" w:rsidP="00744BAD">
      <w:pPr>
        <w:spacing w:after="0" w:line="240" w:lineRule="auto"/>
        <w:rPr>
          <w:rFonts w:cs="Arial"/>
        </w:rPr>
      </w:pPr>
    </w:p>
    <w:p w14:paraId="1BFEF34E" w14:textId="4F4ECFF0" w:rsidR="005D11A8" w:rsidRDefault="004A5469" w:rsidP="00744BAD">
      <w:pPr>
        <w:pStyle w:val="ListParagraph"/>
        <w:numPr>
          <w:ilvl w:val="0"/>
          <w:numId w:val="9"/>
        </w:numPr>
        <w:spacing w:after="0" w:line="240" w:lineRule="auto"/>
      </w:pPr>
      <w:r>
        <w:t>POL29 Information Privacy Policy</w:t>
      </w:r>
    </w:p>
    <w:p w14:paraId="3838FF23" w14:textId="4EC9B3F0" w:rsidR="00E4062C" w:rsidRDefault="00E4062C" w:rsidP="00744BAD">
      <w:pPr>
        <w:pStyle w:val="ListParagraph"/>
        <w:numPr>
          <w:ilvl w:val="0"/>
          <w:numId w:val="9"/>
        </w:numPr>
        <w:spacing w:after="0" w:line="240" w:lineRule="auto"/>
      </w:pPr>
      <w:r>
        <w:t>POL54 Information and Cyber Security Policy</w:t>
      </w:r>
    </w:p>
    <w:p w14:paraId="70295058" w14:textId="6249806E" w:rsidR="00981DBB" w:rsidRDefault="00912524" w:rsidP="00744BAD">
      <w:pPr>
        <w:pStyle w:val="ListParagraph"/>
        <w:numPr>
          <w:ilvl w:val="0"/>
          <w:numId w:val="9"/>
        </w:numPr>
        <w:spacing w:after="0" w:line="240" w:lineRule="auto"/>
      </w:pPr>
      <w:r>
        <w:t xml:space="preserve">PRO763 </w:t>
      </w:r>
      <w:r w:rsidR="00981DBB">
        <w:t>Privacy</w:t>
      </w:r>
      <w:r w:rsidR="00B812AF">
        <w:t xml:space="preserve"> and Right to Information</w:t>
      </w:r>
      <w:r w:rsidR="00161D17">
        <w:t xml:space="preserve"> Management</w:t>
      </w:r>
      <w:r w:rsidR="00981DBB">
        <w:t xml:space="preserve"> Framework</w:t>
      </w:r>
    </w:p>
    <w:p w14:paraId="6DDBDCC7" w14:textId="0B0563CC" w:rsidR="00981DBB" w:rsidRPr="004A5469" w:rsidRDefault="00981DBB" w:rsidP="00744BAD">
      <w:pPr>
        <w:pStyle w:val="ListParagraph"/>
        <w:numPr>
          <w:ilvl w:val="0"/>
          <w:numId w:val="9"/>
        </w:numPr>
        <w:spacing w:after="0" w:line="240" w:lineRule="auto"/>
      </w:pPr>
      <w:r>
        <w:t xml:space="preserve">Mandatory Data Breach </w:t>
      </w:r>
      <w:r w:rsidR="008D7ED9">
        <w:t>Scheme</w:t>
      </w:r>
      <w:r>
        <w:t xml:space="preserve"> Procedure</w:t>
      </w:r>
    </w:p>
    <w:p w14:paraId="7AA60233" w14:textId="77777777" w:rsidR="00E13510" w:rsidRPr="00E13510" w:rsidRDefault="00E13510" w:rsidP="00E13510">
      <w:pPr>
        <w:spacing w:after="0" w:line="240" w:lineRule="auto"/>
        <w:rPr>
          <w:rFonts w:cs="Arial"/>
        </w:rPr>
      </w:pPr>
    </w:p>
    <w:p w14:paraId="1288AA17" w14:textId="110151A6" w:rsidR="005D11A8" w:rsidRDefault="005D11A8" w:rsidP="00744BAD">
      <w:pPr>
        <w:pStyle w:val="PolicySubheading"/>
        <w:spacing w:after="0" w:line="240" w:lineRule="auto"/>
      </w:pPr>
      <w:r>
        <w:t>External Documents</w:t>
      </w:r>
    </w:p>
    <w:p w14:paraId="52A84671" w14:textId="77777777" w:rsidR="00823B2F" w:rsidRPr="00744BAD" w:rsidRDefault="00823B2F" w:rsidP="00744BAD">
      <w:pPr>
        <w:spacing w:after="0" w:line="240" w:lineRule="auto"/>
        <w:rPr>
          <w:rFonts w:cs="Arial"/>
        </w:rPr>
      </w:pPr>
    </w:p>
    <w:p w14:paraId="615A68DA" w14:textId="3903CAE0" w:rsidR="00513CF5" w:rsidRDefault="00D71575" w:rsidP="00744BAD">
      <w:pPr>
        <w:pStyle w:val="ListParagraph"/>
        <w:numPr>
          <w:ilvl w:val="0"/>
          <w:numId w:val="9"/>
        </w:numPr>
        <w:spacing w:after="0" w:line="240" w:lineRule="auto"/>
      </w:pPr>
      <w:r>
        <w:t xml:space="preserve">Mandatory Notification of Data Breach </w:t>
      </w:r>
      <w:r w:rsidR="00E0357B">
        <w:t>Guidelines, Office of the Information Commissioner</w:t>
      </w:r>
    </w:p>
    <w:p w14:paraId="7114F8B4" w14:textId="77777777" w:rsidR="00625494" w:rsidRDefault="00625494" w:rsidP="00625494">
      <w:pPr>
        <w:spacing w:after="0" w:line="240" w:lineRule="auto"/>
      </w:pPr>
    </w:p>
    <w:p w14:paraId="77B0E35C" w14:textId="4CEE7364" w:rsidR="00513CF5" w:rsidRPr="00513CF5" w:rsidRDefault="00513CF5" w:rsidP="00744BAD">
      <w:pPr>
        <w:pStyle w:val="Heading1"/>
        <w:spacing w:before="0" w:line="240" w:lineRule="auto"/>
      </w:pPr>
      <w:r>
        <w:t>Review Date</w:t>
      </w:r>
    </w:p>
    <w:p w14:paraId="18C0EB4B" w14:textId="77777777" w:rsidR="006B1E04" w:rsidRDefault="006B1E04" w:rsidP="00744BAD">
      <w:pPr>
        <w:spacing w:after="0" w:line="240" w:lineRule="auto"/>
      </w:pPr>
    </w:p>
    <w:p w14:paraId="580F3B27" w14:textId="6A4FF6EE" w:rsidR="00513CF5" w:rsidRDefault="00513CF5" w:rsidP="00744BAD">
      <w:pPr>
        <w:spacing w:after="0" w:line="240" w:lineRule="auto"/>
      </w:pPr>
      <w:r>
        <w:t>This policy will be reviewed every 2 years or in accordance with changes to relevant legislation or business objectives.</w:t>
      </w:r>
    </w:p>
    <w:p w14:paraId="5B5D3563" w14:textId="77777777" w:rsidR="00513CF5" w:rsidRPr="006B1E04" w:rsidRDefault="00513CF5" w:rsidP="00744BAD">
      <w:pPr>
        <w:spacing w:after="0" w:line="240" w:lineRule="auto"/>
      </w:pPr>
    </w:p>
    <w:p w14:paraId="28A073B5" w14:textId="72CDB30B" w:rsidR="00513CF5" w:rsidRPr="00513CF5" w:rsidRDefault="00513CF5" w:rsidP="00744BAD">
      <w:pPr>
        <w:pStyle w:val="Heading1"/>
        <w:spacing w:before="0" w:line="240" w:lineRule="auto"/>
      </w:pPr>
      <w:r>
        <w:t>Authorising Officer</w:t>
      </w:r>
    </w:p>
    <w:p w14:paraId="7FBF55EA" w14:textId="77777777" w:rsidR="006B1E04" w:rsidRDefault="006B1E04" w:rsidP="00744BAD">
      <w:pPr>
        <w:spacing w:after="0" w:line="240" w:lineRule="auto"/>
      </w:pPr>
    </w:p>
    <w:p w14:paraId="34D56503" w14:textId="6585F704" w:rsidR="00A13A8F" w:rsidRPr="001E49E8" w:rsidRDefault="00513CF5" w:rsidP="00744BAD">
      <w:pPr>
        <w:spacing w:after="0" w:line="240" w:lineRule="auto"/>
      </w:pPr>
      <w:r>
        <w:t>Urban Utilities Boar</w:t>
      </w:r>
      <w:r w:rsidR="00E13510">
        <w:t>d</w:t>
      </w:r>
    </w:p>
    <w:sectPr w:rsidR="00A13A8F" w:rsidRPr="001E49E8" w:rsidSect="000935ED">
      <w:headerReference w:type="even" r:id="rId12"/>
      <w:headerReference w:type="default" r:id="rId13"/>
      <w:footerReference w:type="default" r:id="rId14"/>
      <w:headerReference w:type="first" r:id="rId15"/>
      <w:pgSz w:w="11906" w:h="16838" w:code="9"/>
      <w:pgMar w:top="2552" w:right="1134" w:bottom="851"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4A6E5" w14:textId="77777777" w:rsidR="008D7C71" w:rsidRDefault="008D7C71" w:rsidP="0043722B">
      <w:pPr>
        <w:spacing w:after="0" w:line="240" w:lineRule="auto"/>
      </w:pPr>
      <w:r>
        <w:separator/>
      </w:r>
    </w:p>
  </w:endnote>
  <w:endnote w:type="continuationSeparator" w:id="0">
    <w:p w14:paraId="59E9F8A8" w14:textId="77777777" w:rsidR="008D7C71" w:rsidRDefault="008D7C71" w:rsidP="0043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top w:val="single" w:sz="6" w:space="0" w:color="70AD47"/>
      </w:tblBorders>
      <w:tblLook w:val="04A0" w:firstRow="1" w:lastRow="0" w:firstColumn="1" w:lastColumn="0" w:noHBand="0" w:noVBand="1"/>
    </w:tblPr>
    <w:tblGrid>
      <w:gridCol w:w="708"/>
      <w:gridCol w:w="568"/>
      <w:gridCol w:w="1985"/>
      <w:gridCol w:w="993"/>
      <w:gridCol w:w="850"/>
      <w:gridCol w:w="1276"/>
      <w:gridCol w:w="2268"/>
      <w:gridCol w:w="982"/>
      <w:gridCol w:w="9"/>
    </w:tblGrid>
    <w:tr w:rsidR="00454381" w:rsidRPr="00F46105" w14:paraId="6B705F8B" w14:textId="77777777" w:rsidTr="0003521D">
      <w:tc>
        <w:tcPr>
          <w:tcW w:w="708" w:type="dxa"/>
          <w:shd w:val="clear" w:color="auto" w:fill="auto"/>
        </w:tcPr>
        <w:p w14:paraId="25285031" w14:textId="77777777" w:rsidR="00454381" w:rsidRPr="00222579" w:rsidRDefault="00454381" w:rsidP="00454381">
          <w:pPr>
            <w:pStyle w:val="Footer"/>
            <w:jc w:val="both"/>
            <w:rPr>
              <w:rFonts w:ascii="Calibri" w:eastAsia="Cambria" w:hAnsi="Calibri" w:cs="Calibri"/>
              <w:b/>
              <w:bCs/>
              <w:sz w:val="16"/>
              <w:szCs w:val="18"/>
            </w:rPr>
          </w:pPr>
          <w:r w:rsidRPr="00222579">
            <w:rPr>
              <w:rFonts w:ascii="Calibri" w:eastAsia="Cambria" w:hAnsi="Calibri" w:cs="Calibri"/>
              <w:b/>
              <w:bCs/>
              <w:sz w:val="16"/>
              <w:szCs w:val="18"/>
            </w:rPr>
            <w:t>Doc ID:</w:t>
          </w:r>
        </w:p>
      </w:tc>
      <w:tc>
        <w:tcPr>
          <w:tcW w:w="2553" w:type="dxa"/>
          <w:gridSpan w:val="2"/>
          <w:shd w:val="clear" w:color="auto" w:fill="auto"/>
        </w:tcPr>
        <w:p w14:paraId="16991F40" w14:textId="55C46CF3" w:rsidR="00454381" w:rsidRPr="00222579" w:rsidRDefault="00454381" w:rsidP="00454381">
          <w:pPr>
            <w:pStyle w:val="Footer"/>
            <w:rPr>
              <w:rFonts w:ascii="Calibri" w:eastAsia="Cambria" w:hAnsi="Calibri" w:cs="Calibri"/>
              <w:b/>
              <w:bCs/>
              <w:sz w:val="16"/>
              <w:szCs w:val="18"/>
            </w:rPr>
          </w:pPr>
          <w:r>
            <w:rPr>
              <w:rFonts w:ascii="Calibri" w:eastAsia="Cambria" w:hAnsi="Calibri" w:cs="Calibri"/>
              <w:sz w:val="16"/>
              <w:szCs w:val="18"/>
            </w:rPr>
            <w:t>POL-DOC-00</w:t>
          </w:r>
          <w:r w:rsidR="008A0D08">
            <w:rPr>
              <w:rFonts w:ascii="Calibri" w:eastAsia="Cambria" w:hAnsi="Calibri" w:cs="Calibri"/>
              <w:sz w:val="16"/>
              <w:szCs w:val="18"/>
            </w:rPr>
            <w:t>4539</w:t>
          </w:r>
        </w:p>
      </w:tc>
      <w:tc>
        <w:tcPr>
          <w:tcW w:w="993" w:type="dxa"/>
        </w:tcPr>
        <w:p w14:paraId="0B50A91E" w14:textId="77777777" w:rsidR="00454381" w:rsidRPr="00222579" w:rsidRDefault="00454381" w:rsidP="00454381">
          <w:pPr>
            <w:pStyle w:val="Footer"/>
            <w:rPr>
              <w:rFonts w:ascii="Calibri" w:eastAsia="Cambria" w:hAnsi="Calibri" w:cs="Calibri"/>
              <w:b/>
              <w:bCs/>
              <w:sz w:val="16"/>
              <w:szCs w:val="18"/>
            </w:rPr>
          </w:pPr>
          <w:r>
            <w:rPr>
              <w:rFonts w:ascii="Calibri" w:eastAsia="Cambria" w:hAnsi="Calibri" w:cs="Calibri"/>
              <w:b/>
              <w:bCs/>
              <w:sz w:val="16"/>
              <w:szCs w:val="18"/>
            </w:rPr>
            <w:t>Revision:</w:t>
          </w:r>
        </w:p>
      </w:tc>
      <w:tc>
        <w:tcPr>
          <w:tcW w:w="850" w:type="dxa"/>
        </w:tcPr>
        <w:p w14:paraId="30748AFA" w14:textId="77777777" w:rsidR="00454381" w:rsidRPr="008E6211" w:rsidRDefault="00454381" w:rsidP="00454381">
          <w:pPr>
            <w:pStyle w:val="Footer"/>
            <w:rPr>
              <w:rFonts w:ascii="Calibri" w:eastAsia="Cambria" w:hAnsi="Calibri" w:cs="Calibri"/>
              <w:sz w:val="16"/>
              <w:szCs w:val="18"/>
            </w:rPr>
          </w:pPr>
          <w:r w:rsidRPr="008E6211">
            <w:rPr>
              <w:rFonts w:ascii="Calibri" w:eastAsia="Cambria" w:hAnsi="Calibri" w:cs="Calibri"/>
              <w:sz w:val="16"/>
              <w:szCs w:val="18"/>
            </w:rPr>
            <w:t>1</w:t>
          </w:r>
        </w:p>
      </w:tc>
      <w:tc>
        <w:tcPr>
          <w:tcW w:w="1276" w:type="dxa"/>
          <w:shd w:val="clear" w:color="auto" w:fill="auto"/>
        </w:tcPr>
        <w:p w14:paraId="020454F4" w14:textId="77777777" w:rsidR="00454381" w:rsidRPr="00F46105" w:rsidRDefault="00454381" w:rsidP="00454381">
          <w:pPr>
            <w:pStyle w:val="Footer"/>
            <w:jc w:val="right"/>
            <w:rPr>
              <w:rFonts w:ascii="Calibri" w:eastAsia="Cambria" w:hAnsi="Calibri" w:cs="Calibri"/>
              <w:sz w:val="16"/>
              <w:szCs w:val="18"/>
            </w:rPr>
          </w:pPr>
          <w:r w:rsidRPr="00222579">
            <w:rPr>
              <w:rFonts w:ascii="Calibri" w:eastAsia="Cambria" w:hAnsi="Calibri" w:cs="Calibri"/>
              <w:b/>
              <w:bCs/>
              <w:sz w:val="16"/>
              <w:szCs w:val="18"/>
            </w:rPr>
            <w:t>Date</w:t>
          </w:r>
          <w:r>
            <w:rPr>
              <w:rFonts w:ascii="Calibri" w:eastAsia="Cambria" w:hAnsi="Calibri" w:cs="Calibri"/>
              <w:b/>
              <w:bCs/>
              <w:sz w:val="16"/>
              <w:szCs w:val="18"/>
            </w:rPr>
            <w:t xml:space="preserve"> Approved</w:t>
          </w:r>
          <w:r w:rsidRPr="00222579">
            <w:rPr>
              <w:rFonts w:ascii="Calibri" w:eastAsia="Cambria" w:hAnsi="Calibri" w:cs="Calibri"/>
              <w:b/>
              <w:bCs/>
              <w:sz w:val="16"/>
              <w:szCs w:val="18"/>
            </w:rPr>
            <w:t>:</w:t>
          </w:r>
        </w:p>
      </w:tc>
      <w:tc>
        <w:tcPr>
          <w:tcW w:w="2268" w:type="dxa"/>
          <w:shd w:val="clear" w:color="auto" w:fill="auto"/>
        </w:tcPr>
        <w:p w14:paraId="7B3BD257" w14:textId="59774D1F" w:rsidR="00454381" w:rsidRPr="00F46105" w:rsidRDefault="0003521D" w:rsidP="00454381">
          <w:pPr>
            <w:pStyle w:val="Footer"/>
            <w:rPr>
              <w:rFonts w:ascii="Calibri" w:eastAsia="Cambria" w:hAnsi="Calibri" w:cs="Calibri"/>
              <w:sz w:val="16"/>
              <w:szCs w:val="18"/>
            </w:rPr>
          </w:pPr>
          <w:r w:rsidRPr="00ED6BFF">
            <w:rPr>
              <w:rFonts w:ascii="Calibri" w:eastAsia="Cambria" w:hAnsi="Calibri" w:cs="Calibri"/>
              <w:sz w:val="16"/>
              <w:szCs w:val="18"/>
            </w:rPr>
            <w:t xml:space="preserve">24 March </w:t>
          </w:r>
          <w:r w:rsidR="00454381" w:rsidRPr="00ED6BFF">
            <w:rPr>
              <w:rFonts w:ascii="Calibri" w:eastAsia="Cambria" w:hAnsi="Calibri" w:cs="Calibri"/>
              <w:sz w:val="16"/>
              <w:szCs w:val="18"/>
            </w:rPr>
            <w:t>2025</w:t>
          </w:r>
        </w:p>
      </w:tc>
      <w:tc>
        <w:tcPr>
          <w:tcW w:w="991" w:type="dxa"/>
          <w:gridSpan w:val="2"/>
          <w:shd w:val="clear" w:color="auto" w:fill="auto"/>
        </w:tcPr>
        <w:p w14:paraId="410156EB" w14:textId="77777777" w:rsidR="00454381" w:rsidRPr="00F46105" w:rsidRDefault="00454381" w:rsidP="00454381">
          <w:pPr>
            <w:pStyle w:val="Footer"/>
            <w:jc w:val="right"/>
            <w:rPr>
              <w:rFonts w:ascii="Calibri" w:eastAsia="Cambria" w:hAnsi="Calibri" w:cs="Calibri"/>
              <w:sz w:val="16"/>
              <w:szCs w:val="18"/>
            </w:rPr>
          </w:pPr>
          <w:r w:rsidRPr="00F46105">
            <w:rPr>
              <w:rFonts w:ascii="Calibri" w:eastAsia="Cambria" w:hAnsi="Calibri" w:cs="Calibri"/>
              <w:sz w:val="16"/>
              <w:szCs w:val="18"/>
            </w:rPr>
            <w:t xml:space="preserve">Page </w:t>
          </w:r>
          <w:r w:rsidRPr="00C005A1">
            <w:rPr>
              <w:rFonts w:asciiTheme="majorHAnsi" w:hAnsiTheme="majorHAnsi" w:cstheme="majorHAnsi"/>
              <w:sz w:val="16"/>
              <w:szCs w:val="18"/>
            </w:rPr>
            <w:fldChar w:fldCharType="begin"/>
          </w:r>
          <w:r w:rsidRPr="00C005A1">
            <w:rPr>
              <w:rFonts w:asciiTheme="majorHAnsi" w:eastAsia="Cambria" w:hAnsiTheme="majorHAnsi" w:cstheme="majorHAnsi"/>
              <w:sz w:val="16"/>
              <w:szCs w:val="18"/>
            </w:rPr>
            <w:instrText xml:space="preserve"> PAGE   \* MERGEFORMAT </w:instrText>
          </w:r>
          <w:r w:rsidRPr="00C005A1">
            <w:rPr>
              <w:rFonts w:asciiTheme="majorHAnsi" w:hAnsiTheme="majorHAnsi" w:cstheme="majorHAnsi"/>
              <w:sz w:val="16"/>
              <w:szCs w:val="18"/>
            </w:rPr>
            <w:fldChar w:fldCharType="separate"/>
          </w:r>
          <w:r w:rsidRPr="00C005A1">
            <w:rPr>
              <w:rFonts w:asciiTheme="majorHAnsi" w:hAnsiTheme="majorHAnsi" w:cstheme="majorHAnsi"/>
              <w:sz w:val="16"/>
              <w:szCs w:val="18"/>
            </w:rPr>
            <w:t>1</w:t>
          </w:r>
          <w:r w:rsidRPr="00C005A1">
            <w:rPr>
              <w:rFonts w:asciiTheme="majorHAnsi" w:hAnsiTheme="majorHAnsi" w:cstheme="majorHAnsi"/>
              <w:sz w:val="16"/>
              <w:szCs w:val="18"/>
            </w:rPr>
            <w:fldChar w:fldCharType="end"/>
          </w:r>
          <w:r w:rsidRPr="00C005A1">
            <w:rPr>
              <w:rFonts w:asciiTheme="majorHAnsi" w:eastAsia="Cambria" w:hAnsiTheme="majorHAnsi" w:cstheme="majorHAnsi"/>
              <w:sz w:val="16"/>
              <w:szCs w:val="18"/>
            </w:rPr>
            <w:t xml:space="preserve"> of </w:t>
          </w:r>
          <w:r w:rsidRPr="00C005A1">
            <w:rPr>
              <w:rFonts w:asciiTheme="majorHAnsi" w:hAnsiTheme="majorHAnsi" w:cstheme="majorHAnsi"/>
              <w:sz w:val="16"/>
              <w:szCs w:val="18"/>
            </w:rPr>
            <w:fldChar w:fldCharType="begin"/>
          </w:r>
          <w:r w:rsidRPr="00C005A1">
            <w:rPr>
              <w:rFonts w:asciiTheme="majorHAnsi" w:eastAsia="Cambria" w:hAnsiTheme="majorHAnsi" w:cstheme="majorHAnsi"/>
              <w:sz w:val="16"/>
              <w:szCs w:val="18"/>
            </w:rPr>
            <w:instrText xml:space="preserve"> NUMPAGES   \* MERGEFORMAT </w:instrText>
          </w:r>
          <w:r w:rsidRPr="00C005A1">
            <w:rPr>
              <w:rFonts w:asciiTheme="majorHAnsi" w:hAnsiTheme="majorHAnsi" w:cstheme="majorHAnsi"/>
              <w:sz w:val="16"/>
              <w:szCs w:val="18"/>
            </w:rPr>
            <w:fldChar w:fldCharType="separate"/>
          </w:r>
          <w:r w:rsidRPr="00C005A1">
            <w:rPr>
              <w:rFonts w:asciiTheme="majorHAnsi" w:hAnsiTheme="majorHAnsi" w:cstheme="majorHAnsi"/>
              <w:sz w:val="16"/>
              <w:szCs w:val="18"/>
            </w:rPr>
            <w:t>5</w:t>
          </w:r>
          <w:r w:rsidRPr="00C005A1">
            <w:rPr>
              <w:rFonts w:asciiTheme="majorHAnsi" w:hAnsiTheme="majorHAnsi" w:cstheme="majorHAnsi"/>
              <w:sz w:val="16"/>
              <w:szCs w:val="18"/>
            </w:rPr>
            <w:fldChar w:fldCharType="end"/>
          </w:r>
        </w:p>
      </w:tc>
    </w:tr>
    <w:tr w:rsidR="00454381" w:rsidRPr="00F46105" w14:paraId="4DBF43DB" w14:textId="77777777" w:rsidTr="00934458">
      <w:tblPrEx>
        <w:tblBorders>
          <w:top w:val="none" w:sz="0" w:space="0" w:color="auto"/>
        </w:tblBorders>
      </w:tblPrEx>
      <w:trPr>
        <w:gridAfter w:val="1"/>
        <w:wAfter w:w="9" w:type="dxa"/>
      </w:trPr>
      <w:tc>
        <w:tcPr>
          <w:tcW w:w="1276" w:type="dxa"/>
          <w:gridSpan w:val="2"/>
          <w:shd w:val="clear" w:color="auto" w:fill="auto"/>
        </w:tcPr>
        <w:p w14:paraId="510E4018" w14:textId="77777777" w:rsidR="00454381" w:rsidRPr="00F46105" w:rsidRDefault="00454381" w:rsidP="00454381">
          <w:pPr>
            <w:pStyle w:val="Footer"/>
            <w:jc w:val="both"/>
            <w:rPr>
              <w:rFonts w:ascii="Calibri" w:eastAsia="Cambria" w:hAnsi="Calibri" w:cs="Calibri"/>
              <w:sz w:val="16"/>
              <w:szCs w:val="18"/>
            </w:rPr>
          </w:pPr>
          <w:r w:rsidRPr="00F46105">
            <w:rPr>
              <w:rFonts w:ascii="Calibri" w:eastAsia="Cambria" w:hAnsi="Calibri" w:cs="Calibri"/>
              <w:sz w:val="16"/>
              <w:szCs w:val="18"/>
            </w:rPr>
            <w:t>Confidential</w:t>
          </w:r>
        </w:p>
      </w:tc>
      <w:tc>
        <w:tcPr>
          <w:tcW w:w="8354" w:type="dxa"/>
          <w:gridSpan w:val="6"/>
          <w:shd w:val="clear" w:color="auto" w:fill="auto"/>
        </w:tcPr>
        <w:p w14:paraId="2ABDC870" w14:textId="77777777" w:rsidR="00454381" w:rsidRPr="00F46105" w:rsidRDefault="00454381" w:rsidP="00454381">
          <w:pPr>
            <w:pStyle w:val="Footer"/>
            <w:jc w:val="center"/>
            <w:rPr>
              <w:rFonts w:ascii="Calibri" w:eastAsia="Cambria" w:hAnsi="Calibri" w:cs="Calibri"/>
              <w:sz w:val="16"/>
              <w:szCs w:val="18"/>
            </w:rPr>
          </w:pPr>
          <w:r w:rsidRPr="00222579">
            <w:rPr>
              <w:rFonts w:ascii="Calibri" w:eastAsia="Cambria" w:hAnsi="Calibri" w:cs="Calibri"/>
              <w:b/>
              <w:bCs/>
              <w:sz w:val="16"/>
              <w:szCs w:val="18"/>
            </w:rPr>
            <w:t>Please note:</w:t>
          </w:r>
          <w:r w:rsidRPr="00F46105">
            <w:rPr>
              <w:rFonts w:ascii="Calibri" w:eastAsia="Cambria" w:hAnsi="Calibri" w:cs="Calibri"/>
              <w:sz w:val="16"/>
              <w:szCs w:val="18"/>
            </w:rPr>
            <w:t xml:space="preserve"> </w:t>
          </w:r>
          <w:r>
            <w:rPr>
              <w:rFonts w:ascii="Calibri" w:eastAsia="Cambria" w:hAnsi="Calibri" w:cs="Calibri"/>
              <w:sz w:val="16"/>
              <w:szCs w:val="18"/>
            </w:rPr>
            <w:t>Saved or p</w:t>
          </w:r>
          <w:r w:rsidRPr="00F46105">
            <w:rPr>
              <w:rFonts w:ascii="Calibri" w:eastAsia="Cambria" w:hAnsi="Calibri" w:cs="Calibri"/>
              <w:sz w:val="16"/>
              <w:szCs w:val="18"/>
            </w:rPr>
            <w:t>rinted copies of this document should be verified for currency against the online version.</w:t>
          </w:r>
        </w:p>
      </w:tc>
    </w:tr>
  </w:tbl>
  <w:p w14:paraId="01368F69" w14:textId="77777777" w:rsidR="00454381" w:rsidRPr="008E2785" w:rsidRDefault="00454381">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38C16" w14:textId="77777777" w:rsidR="008D7C71" w:rsidRDefault="008D7C71" w:rsidP="0043722B">
      <w:pPr>
        <w:spacing w:after="0" w:line="240" w:lineRule="auto"/>
      </w:pPr>
      <w:r>
        <w:separator/>
      </w:r>
    </w:p>
  </w:footnote>
  <w:footnote w:type="continuationSeparator" w:id="0">
    <w:p w14:paraId="4C38F4CE" w14:textId="77777777" w:rsidR="008D7C71" w:rsidRDefault="008D7C71" w:rsidP="00437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9414" w14:textId="109A1FEA" w:rsidR="0043722B" w:rsidRDefault="00D329A5">
    <w:pPr>
      <w:pStyle w:val="Header"/>
    </w:pPr>
    <w:r>
      <w:rPr>
        <w:noProof/>
      </w:rPr>
      <w:pict w14:anchorId="03C71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611626" o:spid="_x0000_s1038" type="#_x0000_t75" style="position:absolute;margin-left:0;margin-top:0;width:595.2pt;height:841.9pt;z-index:-251653120;mso-position-horizontal:center;mso-position-horizontal-relative:margin;mso-position-vertical:center;mso-position-vertical-relative:margin" o:allowincell="f">
          <v:imagedata r:id="rId1" o:title="Letterhead-BK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25D6" w14:textId="0884CE8C" w:rsidR="00C657D6" w:rsidRDefault="00D329A5">
    <w:pPr>
      <w:pStyle w:val="Header"/>
    </w:pPr>
    <w:r>
      <w:rPr>
        <w:noProof/>
      </w:rPr>
      <w:pict w14:anchorId="69F4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611627" o:spid="_x0000_s1039" type="#_x0000_t75" style="position:absolute;margin-left:-70.7pt;margin-top:-141.5pt;width:595.2pt;height:82.05pt;z-index:-251652096;mso-position-horizontal-relative:margin;mso-position-vertical-relative:margin" o:allowincell="f">
          <v:imagedata r:id="rId1" o:title="Letterhead-BKG2" cropbottom="59149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B7AC" w14:textId="6332782C" w:rsidR="0043722B" w:rsidRDefault="00C657D6">
    <w:pPr>
      <w:pStyle w:val="Header"/>
    </w:pPr>
    <w:r>
      <w:rPr>
        <w:noProof/>
      </w:rPr>
      <w:drawing>
        <wp:anchor distT="0" distB="0" distL="114300" distR="114300" simplePos="0" relativeHeight="251661312" behindDoc="1" locked="0" layoutInCell="1" allowOverlap="1" wp14:anchorId="78A852C4" wp14:editId="6FFA682E">
          <wp:simplePos x="0" y="0"/>
          <wp:positionH relativeFrom="page">
            <wp:align>left</wp:align>
          </wp:positionH>
          <wp:positionV relativeFrom="page">
            <wp:posOffset>-635</wp:posOffset>
          </wp:positionV>
          <wp:extent cx="7562450" cy="10697208"/>
          <wp:effectExtent l="0" t="0" r="635" b="9525"/>
          <wp:wrapNone/>
          <wp:docPr id="345775172" name="Picture 34577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50" cy="106972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2EC4"/>
    <w:multiLevelType w:val="hybridMultilevel"/>
    <w:tmpl w:val="949EF78E"/>
    <w:lvl w:ilvl="0" w:tplc="2714798C">
      <w:start w:val="1"/>
      <w:numFmt w:val="bullet"/>
      <w:lvlText w:val=""/>
      <w:lvlJc w:val="left"/>
      <w:pPr>
        <w:ind w:left="720" w:hanging="360"/>
      </w:pPr>
      <w:rPr>
        <w:rFonts w:ascii="Symbol" w:hAnsi="Symbol" w:hint="default"/>
      </w:rPr>
    </w:lvl>
    <w:lvl w:ilvl="1" w:tplc="6E4E1DD6">
      <w:start w:val="1"/>
      <w:numFmt w:val="bullet"/>
      <w:lvlText w:val="o"/>
      <w:lvlJc w:val="left"/>
      <w:pPr>
        <w:ind w:left="1440" w:hanging="360"/>
      </w:pPr>
      <w:rPr>
        <w:rFonts w:ascii="Courier New" w:hAnsi="Courier New" w:cs="Courier New" w:hint="default"/>
      </w:rPr>
    </w:lvl>
    <w:lvl w:ilvl="2" w:tplc="0E38D112">
      <w:start w:val="1"/>
      <w:numFmt w:val="bullet"/>
      <w:lvlText w:val=""/>
      <w:lvlJc w:val="left"/>
      <w:pPr>
        <w:ind w:left="2160" w:hanging="360"/>
      </w:pPr>
      <w:rPr>
        <w:rFonts w:ascii="Wingdings" w:hAnsi="Wingdings" w:hint="default"/>
      </w:rPr>
    </w:lvl>
    <w:lvl w:ilvl="3" w:tplc="4F361D3A">
      <w:start w:val="1"/>
      <w:numFmt w:val="bullet"/>
      <w:lvlText w:val=""/>
      <w:lvlJc w:val="left"/>
      <w:pPr>
        <w:ind w:left="2880" w:hanging="360"/>
      </w:pPr>
      <w:rPr>
        <w:rFonts w:ascii="Symbol" w:hAnsi="Symbol" w:hint="default"/>
      </w:rPr>
    </w:lvl>
    <w:lvl w:ilvl="4" w:tplc="A0C2D122">
      <w:start w:val="1"/>
      <w:numFmt w:val="bullet"/>
      <w:lvlText w:val="o"/>
      <w:lvlJc w:val="left"/>
      <w:pPr>
        <w:ind w:left="3600" w:hanging="360"/>
      </w:pPr>
      <w:rPr>
        <w:rFonts w:ascii="Courier New" w:hAnsi="Courier New" w:cs="Courier New" w:hint="default"/>
      </w:rPr>
    </w:lvl>
    <w:lvl w:ilvl="5" w:tplc="821A913E">
      <w:start w:val="1"/>
      <w:numFmt w:val="bullet"/>
      <w:lvlText w:val=""/>
      <w:lvlJc w:val="left"/>
      <w:pPr>
        <w:ind w:left="4320" w:hanging="360"/>
      </w:pPr>
      <w:rPr>
        <w:rFonts w:ascii="Wingdings" w:hAnsi="Wingdings" w:hint="default"/>
      </w:rPr>
    </w:lvl>
    <w:lvl w:ilvl="6" w:tplc="9E56DF02">
      <w:start w:val="1"/>
      <w:numFmt w:val="bullet"/>
      <w:lvlText w:val=""/>
      <w:lvlJc w:val="left"/>
      <w:pPr>
        <w:ind w:left="5040" w:hanging="360"/>
      </w:pPr>
      <w:rPr>
        <w:rFonts w:ascii="Symbol" w:hAnsi="Symbol" w:hint="default"/>
      </w:rPr>
    </w:lvl>
    <w:lvl w:ilvl="7" w:tplc="0484816A">
      <w:start w:val="1"/>
      <w:numFmt w:val="bullet"/>
      <w:lvlText w:val="o"/>
      <w:lvlJc w:val="left"/>
      <w:pPr>
        <w:ind w:left="5760" w:hanging="360"/>
      </w:pPr>
      <w:rPr>
        <w:rFonts w:ascii="Courier New" w:hAnsi="Courier New" w:cs="Courier New" w:hint="default"/>
      </w:rPr>
    </w:lvl>
    <w:lvl w:ilvl="8" w:tplc="612E9BCA">
      <w:start w:val="1"/>
      <w:numFmt w:val="bullet"/>
      <w:lvlText w:val=""/>
      <w:lvlJc w:val="left"/>
      <w:pPr>
        <w:ind w:left="6480" w:hanging="360"/>
      </w:pPr>
      <w:rPr>
        <w:rFonts w:ascii="Wingdings" w:hAnsi="Wingdings" w:hint="default"/>
      </w:rPr>
    </w:lvl>
  </w:abstractNum>
  <w:abstractNum w:abstractNumId="1" w15:restartNumberingAfterBreak="0">
    <w:nsid w:val="0D6930DA"/>
    <w:multiLevelType w:val="hybridMultilevel"/>
    <w:tmpl w:val="9BD23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EB25B7"/>
    <w:multiLevelType w:val="hybridMultilevel"/>
    <w:tmpl w:val="463A7316"/>
    <w:lvl w:ilvl="0" w:tplc="73F63D82">
      <w:start w:val="1"/>
      <w:numFmt w:val="bullet"/>
      <w:lvlText w:val=""/>
      <w:lvlJc w:val="left"/>
      <w:pPr>
        <w:ind w:left="720" w:hanging="360"/>
      </w:pPr>
      <w:rPr>
        <w:rFonts w:ascii="Symbol" w:hAnsi="Symbol" w:hint="default"/>
      </w:rPr>
    </w:lvl>
    <w:lvl w:ilvl="1" w:tplc="348EA600">
      <w:start w:val="1"/>
      <w:numFmt w:val="bullet"/>
      <w:lvlText w:val="o"/>
      <w:lvlJc w:val="left"/>
      <w:pPr>
        <w:ind w:left="1440" w:hanging="360"/>
      </w:pPr>
      <w:rPr>
        <w:rFonts w:ascii="Courier New" w:hAnsi="Courier New" w:cs="Courier New" w:hint="default"/>
      </w:rPr>
    </w:lvl>
    <w:lvl w:ilvl="2" w:tplc="CB88C220">
      <w:start w:val="1"/>
      <w:numFmt w:val="bullet"/>
      <w:lvlText w:val=""/>
      <w:lvlJc w:val="left"/>
      <w:pPr>
        <w:ind w:left="2160" w:hanging="360"/>
      </w:pPr>
      <w:rPr>
        <w:rFonts w:ascii="Wingdings" w:hAnsi="Wingdings" w:hint="default"/>
      </w:rPr>
    </w:lvl>
    <w:lvl w:ilvl="3" w:tplc="F1FE4F6A">
      <w:start w:val="1"/>
      <w:numFmt w:val="bullet"/>
      <w:lvlText w:val=""/>
      <w:lvlJc w:val="left"/>
      <w:pPr>
        <w:ind w:left="2880" w:hanging="360"/>
      </w:pPr>
      <w:rPr>
        <w:rFonts w:ascii="Symbol" w:hAnsi="Symbol" w:hint="default"/>
      </w:rPr>
    </w:lvl>
    <w:lvl w:ilvl="4" w:tplc="F822B1EE">
      <w:start w:val="1"/>
      <w:numFmt w:val="bullet"/>
      <w:lvlText w:val="o"/>
      <w:lvlJc w:val="left"/>
      <w:pPr>
        <w:ind w:left="3600" w:hanging="360"/>
      </w:pPr>
      <w:rPr>
        <w:rFonts w:ascii="Courier New" w:hAnsi="Courier New" w:cs="Courier New" w:hint="default"/>
      </w:rPr>
    </w:lvl>
    <w:lvl w:ilvl="5" w:tplc="77CA14AE">
      <w:start w:val="1"/>
      <w:numFmt w:val="bullet"/>
      <w:lvlText w:val=""/>
      <w:lvlJc w:val="left"/>
      <w:pPr>
        <w:ind w:left="4320" w:hanging="360"/>
      </w:pPr>
      <w:rPr>
        <w:rFonts w:ascii="Wingdings" w:hAnsi="Wingdings" w:hint="default"/>
      </w:rPr>
    </w:lvl>
    <w:lvl w:ilvl="6" w:tplc="CBA0631A">
      <w:start w:val="1"/>
      <w:numFmt w:val="bullet"/>
      <w:lvlText w:val=""/>
      <w:lvlJc w:val="left"/>
      <w:pPr>
        <w:ind w:left="5040" w:hanging="360"/>
      </w:pPr>
      <w:rPr>
        <w:rFonts w:ascii="Symbol" w:hAnsi="Symbol" w:hint="default"/>
      </w:rPr>
    </w:lvl>
    <w:lvl w:ilvl="7" w:tplc="6FF213EC">
      <w:start w:val="1"/>
      <w:numFmt w:val="bullet"/>
      <w:lvlText w:val="o"/>
      <w:lvlJc w:val="left"/>
      <w:pPr>
        <w:ind w:left="5760" w:hanging="360"/>
      </w:pPr>
      <w:rPr>
        <w:rFonts w:ascii="Courier New" w:hAnsi="Courier New" w:cs="Courier New" w:hint="default"/>
      </w:rPr>
    </w:lvl>
    <w:lvl w:ilvl="8" w:tplc="8D882B52">
      <w:start w:val="1"/>
      <w:numFmt w:val="bullet"/>
      <w:lvlText w:val=""/>
      <w:lvlJc w:val="left"/>
      <w:pPr>
        <w:ind w:left="6480" w:hanging="360"/>
      </w:pPr>
      <w:rPr>
        <w:rFonts w:ascii="Wingdings" w:hAnsi="Wingdings" w:hint="default"/>
      </w:rPr>
    </w:lvl>
  </w:abstractNum>
  <w:abstractNum w:abstractNumId="3" w15:restartNumberingAfterBreak="0">
    <w:nsid w:val="14F2393F"/>
    <w:multiLevelType w:val="hybridMultilevel"/>
    <w:tmpl w:val="DBE6BA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9A086D"/>
    <w:multiLevelType w:val="hybridMultilevel"/>
    <w:tmpl w:val="ECDA0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265E53"/>
    <w:multiLevelType w:val="hybridMultilevel"/>
    <w:tmpl w:val="AC502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E23F93"/>
    <w:multiLevelType w:val="multilevel"/>
    <w:tmpl w:val="2DCC5E60"/>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515D09"/>
    <w:multiLevelType w:val="hybridMultilevel"/>
    <w:tmpl w:val="C23CE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005C3A"/>
    <w:multiLevelType w:val="hybridMultilevel"/>
    <w:tmpl w:val="CF663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5400AB"/>
    <w:multiLevelType w:val="hybridMultilevel"/>
    <w:tmpl w:val="AE4285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D82670"/>
    <w:multiLevelType w:val="hybridMultilevel"/>
    <w:tmpl w:val="7CE25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954330"/>
    <w:multiLevelType w:val="hybridMultilevel"/>
    <w:tmpl w:val="9796D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197DDD"/>
    <w:multiLevelType w:val="hybridMultilevel"/>
    <w:tmpl w:val="B86818DC"/>
    <w:lvl w:ilvl="0" w:tplc="0C090001">
      <w:start w:val="1"/>
      <w:numFmt w:val="bullet"/>
      <w:lvlText w:val=""/>
      <w:lvlJc w:val="left"/>
      <w:pPr>
        <w:ind w:left="720" w:hanging="360"/>
      </w:pPr>
      <w:rPr>
        <w:rFonts w:ascii="Symbol" w:hAnsi="Symbol" w:hint="default"/>
      </w:rPr>
    </w:lvl>
    <w:lvl w:ilvl="1" w:tplc="9EDE24D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82904667">
    <w:abstractNumId w:val="11"/>
  </w:num>
  <w:num w:numId="2" w16cid:durableId="1684160724">
    <w:abstractNumId w:val="3"/>
  </w:num>
  <w:num w:numId="3" w16cid:durableId="598954114">
    <w:abstractNumId w:val="12"/>
  </w:num>
  <w:num w:numId="4" w16cid:durableId="701244692">
    <w:abstractNumId w:val="9"/>
  </w:num>
  <w:num w:numId="5" w16cid:durableId="1001159425">
    <w:abstractNumId w:val="10"/>
  </w:num>
  <w:num w:numId="6" w16cid:durableId="691953286">
    <w:abstractNumId w:val="4"/>
  </w:num>
  <w:num w:numId="7" w16cid:durableId="1221939308">
    <w:abstractNumId w:val="2"/>
  </w:num>
  <w:num w:numId="8" w16cid:durableId="749811054">
    <w:abstractNumId w:val="0"/>
  </w:num>
  <w:num w:numId="9" w16cid:durableId="207298382">
    <w:abstractNumId w:val="7"/>
  </w:num>
  <w:num w:numId="10" w16cid:durableId="1637682429">
    <w:abstractNumId w:val="6"/>
  </w:num>
  <w:num w:numId="11" w16cid:durableId="58675894">
    <w:abstractNumId w:val="8"/>
  </w:num>
  <w:num w:numId="12" w16cid:durableId="277882886">
    <w:abstractNumId w:val="5"/>
  </w:num>
  <w:num w:numId="13" w16cid:durableId="646058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2B"/>
    <w:rsid w:val="000053C7"/>
    <w:rsid w:val="000057AB"/>
    <w:rsid w:val="00014C13"/>
    <w:rsid w:val="0001563D"/>
    <w:rsid w:val="00015E41"/>
    <w:rsid w:val="000218D9"/>
    <w:rsid w:val="00023E63"/>
    <w:rsid w:val="000348BA"/>
    <w:rsid w:val="0003521D"/>
    <w:rsid w:val="000424E6"/>
    <w:rsid w:val="00053F7D"/>
    <w:rsid w:val="000541ED"/>
    <w:rsid w:val="0007083E"/>
    <w:rsid w:val="00077967"/>
    <w:rsid w:val="000877D8"/>
    <w:rsid w:val="000906BB"/>
    <w:rsid w:val="000935ED"/>
    <w:rsid w:val="000971EC"/>
    <w:rsid w:val="000A3844"/>
    <w:rsid w:val="000B2235"/>
    <w:rsid w:val="000C35F3"/>
    <w:rsid w:val="000C7D15"/>
    <w:rsid w:val="000D7CD9"/>
    <w:rsid w:val="000F672F"/>
    <w:rsid w:val="00102FB8"/>
    <w:rsid w:val="001113CC"/>
    <w:rsid w:val="00121C5F"/>
    <w:rsid w:val="001247E2"/>
    <w:rsid w:val="00130E16"/>
    <w:rsid w:val="0013787F"/>
    <w:rsid w:val="0014719A"/>
    <w:rsid w:val="001524DA"/>
    <w:rsid w:val="00161D17"/>
    <w:rsid w:val="00177B65"/>
    <w:rsid w:val="001947EC"/>
    <w:rsid w:val="00194C5A"/>
    <w:rsid w:val="001A3715"/>
    <w:rsid w:val="001B1C83"/>
    <w:rsid w:val="001B4E87"/>
    <w:rsid w:val="001C5943"/>
    <w:rsid w:val="001D1EEC"/>
    <w:rsid w:val="001E49E8"/>
    <w:rsid w:val="001F1483"/>
    <w:rsid w:val="001F1539"/>
    <w:rsid w:val="00200E6F"/>
    <w:rsid w:val="00201329"/>
    <w:rsid w:val="00203227"/>
    <w:rsid w:val="002118AD"/>
    <w:rsid w:val="00213D37"/>
    <w:rsid w:val="00215A2C"/>
    <w:rsid w:val="00216809"/>
    <w:rsid w:val="00222545"/>
    <w:rsid w:val="0022319C"/>
    <w:rsid w:val="00241C8E"/>
    <w:rsid w:val="00250BAD"/>
    <w:rsid w:val="00263F06"/>
    <w:rsid w:val="0026458E"/>
    <w:rsid w:val="00267F7E"/>
    <w:rsid w:val="00280DF1"/>
    <w:rsid w:val="00281EF8"/>
    <w:rsid w:val="00287971"/>
    <w:rsid w:val="002A04BD"/>
    <w:rsid w:val="002A58A3"/>
    <w:rsid w:val="002B0DD5"/>
    <w:rsid w:val="002B2EC4"/>
    <w:rsid w:val="002D65D3"/>
    <w:rsid w:val="002E4175"/>
    <w:rsid w:val="002E430A"/>
    <w:rsid w:val="002E5AC4"/>
    <w:rsid w:val="002E72F0"/>
    <w:rsid w:val="0030333C"/>
    <w:rsid w:val="0031059E"/>
    <w:rsid w:val="00317A48"/>
    <w:rsid w:val="0032014A"/>
    <w:rsid w:val="00321A21"/>
    <w:rsid w:val="00325FA1"/>
    <w:rsid w:val="003300E1"/>
    <w:rsid w:val="00350936"/>
    <w:rsid w:val="00351C8A"/>
    <w:rsid w:val="003541D4"/>
    <w:rsid w:val="00357144"/>
    <w:rsid w:val="003601AF"/>
    <w:rsid w:val="0037684A"/>
    <w:rsid w:val="00386552"/>
    <w:rsid w:val="003A691F"/>
    <w:rsid w:val="003A7A93"/>
    <w:rsid w:val="003B29DF"/>
    <w:rsid w:val="003C34C2"/>
    <w:rsid w:val="003F4F60"/>
    <w:rsid w:val="00403F93"/>
    <w:rsid w:val="004069D8"/>
    <w:rsid w:val="00406F69"/>
    <w:rsid w:val="00413357"/>
    <w:rsid w:val="00415849"/>
    <w:rsid w:val="00433472"/>
    <w:rsid w:val="0043722B"/>
    <w:rsid w:val="00447B6A"/>
    <w:rsid w:val="00454381"/>
    <w:rsid w:val="00461A2B"/>
    <w:rsid w:val="0046686A"/>
    <w:rsid w:val="0048469B"/>
    <w:rsid w:val="004A5469"/>
    <w:rsid w:val="004B25DC"/>
    <w:rsid w:val="004D4646"/>
    <w:rsid w:val="004D4F51"/>
    <w:rsid w:val="004D4FD8"/>
    <w:rsid w:val="004E28BE"/>
    <w:rsid w:val="004E597E"/>
    <w:rsid w:val="0050683D"/>
    <w:rsid w:val="00513CF5"/>
    <w:rsid w:val="00535157"/>
    <w:rsid w:val="005441C2"/>
    <w:rsid w:val="0054444A"/>
    <w:rsid w:val="00553008"/>
    <w:rsid w:val="00557AAA"/>
    <w:rsid w:val="00570958"/>
    <w:rsid w:val="00594BB9"/>
    <w:rsid w:val="005A20E5"/>
    <w:rsid w:val="005B5536"/>
    <w:rsid w:val="005B73A6"/>
    <w:rsid w:val="005C43E4"/>
    <w:rsid w:val="005D11A8"/>
    <w:rsid w:val="005E1B8F"/>
    <w:rsid w:val="005E5373"/>
    <w:rsid w:val="005E5817"/>
    <w:rsid w:val="005F04A9"/>
    <w:rsid w:val="005F79C0"/>
    <w:rsid w:val="0060592F"/>
    <w:rsid w:val="00617381"/>
    <w:rsid w:val="00617780"/>
    <w:rsid w:val="00620D25"/>
    <w:rsid w:val="00625494"/>
    <w:rsid w:val="006261EE"/>
    <w:rsid w:val="006338B2"/>
    <w:rsid w:val="0063457D"/>
    <w:rsid w:val="00641C31"/>
    <w:rsid w:val="00643604"/>
    <w:rsid w:val="0064374E"/>
    <w:rsid w:val="006573D9"/>
    <w:rsid w:val="00663375"/>
    <w:rsid w:val="006655C2"/>
    <w:rsid w:val="00671D44"/>
    <w:rsid w:val="00676071"/>
    <w:rsid w:val="00686EBA"/>
    <w:rsid w:val="006946FB"/>
    <w:rsid w:val="006A5CF1"/>
    <w:rsid w:val="006B094C"/>
    <w:rsid w:val="006B1E04"/>
    <w:rsid w:val="006C0243"/>
    <w:rsid w:val="006C5E00"/>
    <w:rsid w:val="006E228E"/>
    <w:rsid w:val="006F3131"/>
    <w:rsid w:val="006F38F2"/>
    <w:rsid w:val="006F7178"/>
    <w:rsid w:val="00710191"/>
    <w:rsid w:val="0072428D"/>
    <w:rsid w:val="007265A4"/>
    <w:rsid w:val="0073056A"/>
    <w:rsid w:val="00737A02"/>
    <w:rsid w:val="00744BAD"/>
    <w:rsid w:val="00746D2F"/>
    <w:rsid w:val="00747BD9"/>
    <w:rsid w:val="00755B21"/>
    <w:rsid w:val="00771470"/>
    <w:rsid w:val="007724D3"/>
    <w:rsid w:val="00775E1F"/>
    <w:rsid w:val="007802D1"/>
    <w:rsid w:val="00790D6A"/>
    <w:rsid w:val="007A0E7B"/>
    <w:rsid w:val="007B237A"/>
    <w:rsid w:val="007B37B6"/>
    <w:rsid w:val="007B6704"/>
    <w:rsid w:val="007D0C4B"/>
    <w:rsid w:val="007D6162"/>
    <w:rsid w:val="007E1620"/>
    <w:rsid w:val="007E181E"/>
    <w:rsid w:val="007F3B26"/>
    <w:rsid w:val="007F63C2"/>
    <w:rsid w:val="007F72BD"/>
    <w:rsid w:val="00804CDB"/>
    <w:rsid w:val="00812502"/>
    <w:rsid w:val="00822779"/>
    <w:rsid w:val="00823B2F"/>
    <w:rsid w:val="00832BD1"/>
    <w:rsid w:val="008332E6"/>
    <w:rsid w:val="00852912"/>
    <w:rsid w:val="00852C16"/>
    <w:rsid w:val="00867FE2"/>
    <w:rsid w:val="00880F36"/>
    <w:rsid w:val="008A0D08"/>
    <w:rsid w:val="008B63D6"/>
    <w:rsid w:val="008C0A09"/>
    <w:rsid w:val="008D1BA7"/>
    <w:rsid w:val="008D7C71"/>
    <w:rsid w:val="008D7ED9"/>
    <w:rsid w:val="008E0721"/>
    <w:rsid w:val="008E1BA6"/>
    <w:rsid w:val="008E2785"/>
    <w:rsid w:val="008E2AF4"/>
    <w:rsid w:val="008F15B3"/>
    <w:rsid w:val="008F3C78"/>
    <w:rsid w:val="008F4017"/>
    <w:rsid w:val="008F4549"/>
    <w:rsid w:val="008F576C"/>
    <w:rsid w:val="008F6A74"/>
    <w:rsid w:val="00903A71"/>
    <w:rsid w:val="00904E86"/>
    <w:rsid w:val="00905191"/>
    <w:rsid w:val="00912524"/>
    <w:rsid w:val="00914192"/>
    <w:rsid w:val="009176DD"/>
    <w:rsid w:val="00917CF5"/>
    <w:rsid w:val="00925980"/>
    <w:rsid w:val="009279A9"/>
    <w:rsid w:val="00933D21"/>
    <w:rsid w:val="00935C65"/>
    <w:rsid w:val="0096455C"/>
    <w:rsid w:val="00965B9F"/>
    <w:rsid w:val="00970F55"/>
    <w:rsid w:val="00980F0C"/>
    <w:rsid w:val="00981DBB"/>
    <w:rsid w:val="0098569F"/>
    <w:rsid w:val="00987B1D"/>
    <w:rsid w:val="009905AF"/>
    <w:rsid w:val="009A64A7"/>
    <w:rsid w:val="009B6715"/>
    <w:rsid w:val="009C2F46"/>
    <w:rsid w:val="009D22D3"/>
    <w:rsid w:val="009E1AFA"/>
    <w:rsid w:val="009E2DE4"/>
    <w:rsid w:val="009E3C25"/>
    <w:rsid w:val="009E571E"/>
    <w:rsid w:val="009F5924"/>
    <w:rsid w:val="00A022FE"/>
    <w:rsid w:val="00A043A2"/>
    <w:rsid w:val="00A06D48"/>
    <w:rsid w:val="00A10C5A"/>
    <w:rsid w:val="00A13A8F"/>
    <w:rsid w:val="00A14983"/>
    <w:rsid w:val="00A14F1E"/>
    <w:rsid w:val="00A15F81"/>
    <w:rsid w:val="00A2091F"/>
    <w:rsid w:val="00A30E52"/>
    <w:rsid w:val="00A330DB"/>
    <w:rsid w:val="00A56E54"/>
    <w:rsid w:val="00A60761"/>
    <w:rsid w:val="00A63B33"/>
    <w:rsid w:val="00A74E37"/>
    <w:rsid w:val="00A75098"/>
    <w:rsid w:val="00A754C1"/>
    <w:rsid w:val="00A75686"/>
    <w:rsid w:val="00A772A2"/>
    <w:rsid w:val="00A91114"/>
    <w:rsid w:val="00AA1895"/>
    <w:rsid w:val="00AA4612"/>
    <w:rsid w:val="00AB7346"/>
    <w:rsid w:val="00AD164E"/>
    <w:rsid w:val="00AD2E7F"/>
    <w:rsid w:val="00AD3859"/>
    <w:rsid w:val="00AE3233"/>
    <w:rsid w:val="00AF3897"/>
    <w:rsid w:val="00B0264B"/>
    <w:rsid w:val="00B03846"/>
    <w:rsid w:val="00B3588A"/>
    <w:rsid w:val="00B37DA7"/>
    <w:rsid w:val="00B42624"/>
    <w:rsid w:val="00B439AE"/>
    <w:rsid w:val="00B47357"/>
    <w:rsid w:val="00B544F5"/>
    <w:rsid w:val="00B62726"/>
    <w:rsid w:val="00B675A0"/>
    <w:rsid w:val="00B80E25"/>
    <w:rsid w:val="00B812AF"/>
    <w:rsid w:val="00B86F3C"/>
    <w:rsid w:val="00B946C6"/>
    <w:rsid w:val="00B95B1E"/>
    <w:rsid w:val="00B965C3"/>
    <w:rsid w:val="00B976A0"/>
    <w:rsid w:val="00BA0736"/>
    <w:rsid w:val="00BA4B18"/>
    <w:rsid w:val="00BA54A4"/>
    <w:rsid w:val="00BB20E5"/>
    <w:rsid w:val="00BB27BA"/>
    <w:rsid w:val="00BB3C8A"/>
    <w:rsid w:val="00BB5032"/>
    <w:rsid w:val="00BC18CE"/>
    <w:rsid w:val="00BC23AC"/>
    <w:rsid w:val="00BC342D"/>
    <w:rsid w:val="00BD29B5"/>
    <w:rsid w:val="00BE0AAC"/>
    <w:rsid w:val="00BE0E7E"/>
    <w:rsid w:val="00BF0459"/>
    <w:rsid w:val="00BF6992"/>
    <w:rsid w:val="00C005A1"/>
    <w:rsid w:val="00C05AAF"/>
    <w:rsid w:val="00C17E4C"/>
    <w:rsid w:val="00C20835"/>
    <w:rsid w:val="00C24127"/>
    <w:rsid w:val="00C37397"/>
    <w:rsid w:val="00C45642"/>
    <w:rsid w:val="00C5437F"/>
    <w:rsid w:val="00C5595D"/>
    <w:rsid w:val="00C657D6"/>
    <w:rsid w:val="00C67FF2"/>
    <w:rsid w:val="00C7116F"/>
    <w:rsid w:val="00C719AD"/>
    <w:rsid w:val="00C817E2"/>
    <w:rsid w:val="00CA39D2"/>
    <w:rsid w:val="00CB5C2F"/>
    <w:rsid w:val="00CC79A3"/>
    <w:rsid w:val="00CC7BC6"/>
    <w:rsid w:val="00CD6D6F"/>
    <w:rsid w:val="00CE3F66"/>
    <w:rsid w:val="00CF1C06"/>
    <w:rsid w:val="00CF4413"/>
    <w:rsid w:val="00D02738"/>
    <w:rsid w:val="00D033BE"/>
    <w:rsid w:val="00D04AF5"/>
    <w:rsid w:val="00D101F5"/>
    <w:rsid w:val="00D11FF1"/>
    <w:rsid w:val="00D152B9"/>
    <w:rsid w:val="00D329A5"/>
    <w:rsid w:val="00D40196"/>
    <w:rsid w:val="00D44D32"/>
    <w:rsid w:val="00D47A9C"/>
    <w:rsid w:val="00D50137"/>
    <w:rsid w:val="00D52567"/>
    <w:rsid w:val="00D64B94"/>
    <w:rsid w:val="00D6676A"/>
    <w:rsid w:val="00D71575"/>
    <w:rsid w:val="00D74628"/>
    <w:rsid w:val="00D76A74"/>
    <w:rsid w:val="00D80FDC"/>
    <w:rsid w:val="00D84E38"/>
    <w:rsid w:val="00D853E4"/>
    <w:rsid w:val="00D93489"/>
    <w:rsid w:val="00DA42E2"/>
    <w:rsid w:val="00DA6CC6"/>
    <w:rsid w:val="00DB1D75"/>
    <w:rsid w:val="00DB208D"/>
    <w:rsid w:val="00DB6758"/>
    <w:rsid w:val="00DC7BC5"/>
    <w:rsid w:val="00DE1D3E"/>
    <w:rsid w:val="00DE6448"/>
    <w:rsid w:val="00DF2EE1"/>
    <w:rsid w:val="00E0357B"/>
    <w:rsid w:val="00E07125"/>
    <w:rsid w:val="00E111D0"/>
    <w:rsid w:val="00E12760"/>
    <w:rsid w:val="00E1288A"/>
    <w:rsid w:val="00E13510"/>
    <w:rsid w:val="00E1759A"/>
    <w:rsid w:val="00E276EA"/>
    <w:rsid w:val="00E32BE3"/>
    <w:rsid w:val="00E4062C"/>
    <w:rsid w:val="00E45E6E"/>
    <w:rsid w:val="00E50C97"/>
    <w:rsid w:val="00E53801"/>
    <w:rsid w:val="00E538C1"/>
    <w:rsid w:val="00E725CB"/>
    <w:rsid w:val="00E8228B"/>
    <w:rsid w:val="00E8274C"/>
    <w:rsid w:val="00E86D35"/>
    <w:rsid w:val="00EA2688"/>
    <w:rsid w:val="00EA78E7"/>
    <w:rsid w:val="00EB2EC3"/>
    <w:rsid w:val="00EB514A"/>
    <w:rsid w:val="00EB6518"/>
    <w:rsid w:val="00EC179F"/>
    <w:rsid w:val="00EC36DE"/>
    <w:rsid w:val="00EC61A9"/>
    <w:rsid w:val="00EC7348"/>
    <w:rsid w:val="00ED1112"/>
    <w:rsid w:val="00ED6BFF"/>
    <w:rsid w:val="00EF2807"/>
    <w:rsid w:val="00EF2ED1"/>
    <w:rsid w:val="00EF4F4A"/>
    <w:rsid w:val="00F12D8A"/>
    <w:rsid w:val="00F15048"/>
    <w:rsid w:val="00F17019"/>
    <w:rsid w:val="00F314D3"/>
    <w:rsid w:val="00F3161D"/>
    <w:rsid w:val="00F436C3"/>
    <w:rsid w:val="00F44688"/>
    <w:rsid w:val="00F607B3"/>
    <w:rsid w:val="00F644EF"/>
    <w:rsid w:val="00F652BB"/>
    <w:rsid w:val="00F86BD1"/>
    <w:rsid w:val="00F876D9"/>
    <w:rsid w:val="00F9448D"/>
    <w:rsid w:val="00FA14CB"/>
    <w:rsid w:val="00FA1A85"/>
    <w:rsid w:val="00FA2270"/>
    <w:rsid w:val="00FB19EC"/>
    <w:rsid w:val="00FB6A78"/>
    <w:rsid w:val="00FC7F51"/>
    <w:rsid w:val="00FD2667"/>
    <w:rsid w:val="00FD3486"/>
    <w:rsid w:val="00FE4301"/>
    <w:rsid w:val="00FF4674"/>
    <w:rsid w:val="00FF73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7AB61"/>
  <w15:chartTrackingRefBased/>
  <w15:docId w15:val="{D2955F4E-BEFF-4E78-9420-D47D029B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2A2"/>
    <w:rPr>
      <w:rFonts w:ascii="Arial" w:hAnsi="Arial"/>
      <w:color w:val="414042" w:themeColor="accent2"/>
    </w:rPr>
  </w:style>
  <w:style w:type="paragraph" w:styleId="Heading1">
    <w:name w:val="heading 1"/>
    <w:basedOn w:val="Normal"/>
    <w:next w:val="Normal"/>
    <w:link w:val="Heading1Char"/>
    <w:uiPriority w:val="9"/>
    <w:qFormat/>
    <w:rsid w:val="00A13A8F"/>
    <w:pPr>
      <w:keepNext/>
      <w:keepLines/>
      <w:spacing w:before="240" w:after="0"/>
      <w:outlineLvl w:val="0"/>
    </w:pPr>
    <w:rPr>
      <w:rFonts w:eastAsiaTheme="majorEastAsia" w:cstheme="majorBidi"/>
      <w:b/>
      <w:color w:val="0E2F26" w:themeColor="accent1" w:themeShade="BF"/>
      <w:sz w:val="28"/>
      <w:szCs w:val="32"/>
    </w:rPr>
  </w:style>
  <w:style w:type="paragraph" w:styleId="Heading2">
    <w:name w:val="heading 2"/>
    <w:basedOn w:val="Normal"/>
    <w:next w:val="Normal"/>
    <w:link w:val="Heading2Char"/>
    <w:uiPriority w:val="9"/>
    <w:unhideWhenUsed/>
    <w:rsid w:val="0031059E"/>
    <w:pPr>
      <w:keepNext/>
      <w:keepLines/>
      <w:spacing w:before="40" w:after="0"/>
      <w:outlineLvl w:val="1"/>
    </w:pPr>
    <w:rPr>
      <w:rFonts w:asciiTheme="majorHAnsi" w:eastAsiaTheme="majorEastAsia" w:hAnsiTheme="majorHAnsi" w:cstheme="majorBidi"/>
      <w:color w:val="0E2F2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22B"/>
  </w:style>
  <w:style w:type="paragraph" w:styleId="Footer">
    <w:name w:val="footer"/>
    <w:basedOn w:val="Normal"/>
    <w:link w:val="FooterChar"/>
    <w:uiPriority w:val="99"/>
    <w:unhideWhenUsed/>
    <w:rsid w:val="00437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22B"/>
  </w:style>
  <w:style w:type="paragraph" w:styleId="Title">
    <w:name w:val="Title"/>
    <w:basedOn w:val="Normal"/>
    <w:next w:val="Normal"/>
    <w:link w:val="TitleChar"/>
    <w:uiPriority w:val="10"/>
    <w:qFormat/>
    <w:rsid w:val="000906BB"/>
    <w:pPr>
      <w:spacing w:after="0" w:line="240" w:lineRule="auto"/>
      <w:contextualSpacing/>
    </w:pPr>
    <w:rPr>
      <w:rFonts w:eastAsiaTheme="majorEastAsia" w:cstheme="majorBidi"/>
      <w:b/>
      <w:color w:val="005B6E" w:themeColor="text2"/>
      <w:spacing w:val="-10"/>
      <w:kern w:val="28"/>
      <w:sz w:val="56"/>
      <w:szCs w:val="56"/>
    </w:rPr>
  </w:style>
  <w:style w:type="character" w:customStyle="1" w:styleId="TitleChar">
    <w:name w:val="Title Char"/>
    <w:basedOn w:val="DefaultParagraphFont"/>
    <w:link w:val="Title"/>
    <w:uiPriority w:val="10"/>
    <w:rsid w:val="000906BB"/>
    <w:rPr>
      <w:rFonts w:ascii="Arial" w:eastAsiaTheme="majorEastAsia" w:hAnsi="Arial" w:cstheme="majorBidi"/>
      <w:b/>
      <w:color w:val="005B6E" w:themeColor="text2"/>
      <w:spacing w:val="-10"/>
      <w:kern w:val="28"/>
      <w:sz w:val="56"/>
      <w:szCs w:val="56"/>
    </w:rPr>
  </w:style>
  <w:style w:type="paragraph" w:styleId="Subtitle">
    <w:name w:val="Subtitle"/>
    <w:basedOn w:val="Normal"/>
    <w:next w:val="Normal"/>
    <w:link w:val="SubtitleChar"/>
    <w:uiPriority w:val="11"/>
    <w:qFormat/>
    <w:rsid w:val="00513CF5"/>
    <w:pPr>
      <w:numPr>
        <w:ilvl w:val="1"/>
      </w:numPr>
    </w:pPr>
    <w:rPr>
      <w:rFonts w:eastAsiaTheme="minorEastAsia"/>
      <w:b/>
      <w:color w:val="133F34" w:themeColor="accent1"/>
      <w:sz w:val="32"/>
    </w:rPr>
  </w:style>
  <w:style w:type="character" w:customStyle="1" w:styleId="SubtitleChar">
    <w:name w:val="Subtitle Char"/>
    <w:basedOn w:val="DefaultParagraphFont"/>
    <w:link w:val="Subtitle"/>
    <w:uiPriority w:val="11"/>
    <w:rsid w:val="00513CF5"/>
    <w:rPr>
      <w:rFonts w:ascii="Arial" w:eastAsiaTheme="minorEastAsia" w:hAnsi="Arial"/>
      <w:b/>
      <w:color w:val="133F34" w:themeColor="accent1"/>
      <w:sz w:val="32"/>
    </w:rPr>
  </w:style>
  <w:style w:type="character" w:customStyle="1" w:styleId="Heading1Char">
    <w:name w:val="Heading 1 Char"/>
    <w:basedOn w:val="DefaultParagraphFont"/>
    <w:link w:val="Heading1"/>
    <w:uiPriority w:val="9"/>
    <w:rsid w:val="00A13A8F"/>
    <w:rPr>
      <w:rFonts w:ascii="Arial" w:eastAsiaTheme="majorEastAsia" w:hAnsi="Arial" w:cstheme="majorBidi"/>
      <w:b/>
      <w:color w:val="0E2F26" w:themeColor="accent1" w:themeShade="BF"/>
      <w:sz w:val="28"/>
      <w:szCs w:val="32"/>
    </w:rPr>
  </w:style>
  <w:style w:type="paragraph" w:styleId="ListParagraph">
    <w:name w:val="List Paragraph"/>
    <w:basedOn w:val="Normal"/>
    <w:uiPriority w:val="34"/>
    <w:rsid w:val="001E49E8"/>
    <w:pPr>
      <w:ind w:left="720"/>
      <w:contextualSpacing/>
    </w:pPr>
  </w:style>
  <w:style w:type="paragraph" w:customStyle="1" w:styleId="CaptionUU">
    <w:name w:val="Caption UU"/>
    <w:basedOn w:val="Normal"/>
    <w:qFormat/>
    <w:rsid w:val="000906BB"/>
    <w:rPr>
      <w:i/>
    </w:rPr>
  </w:style>
  <w:style w:type="table" w:styleId="TableGrid">
    <w:name w:val="Table Grid"/>
    <w:basedOn w:val="TableNormal"/>
    <w:uiPriority w:val="39"/>
    <w:rsid w:val="00310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1059E"/>
    <w:pPr>
      <w:spacing w:after="0" w:line="240" w:lineRule="auto"/>
    </w:pPr>
    <w:tblPr>
      <w:tblStyleRowBandSize w:val="1"/>
      <w:tblStyleColBandSize w:val="1"/>
      <w:tblBorders>
        <w:top w:val="single" w:sz="4" w:space="0" w:color="FABE77" w:themeColor="accent5" w:themeTint="99"/>
        <w:left w:val="single" w:sz="4" w:space="0" w:color="FABE77" w:themeColor="accent5" w:themeTint="99"/>
        <w:bottom w:val="single" w:sz="4" w:space="0" w:color="FABE77" w:themeColor="accent5" w:themeTint="99"/>
        <w:right w:val="single" w:sz="4" w:space="0" w:color="FABE77" w:themeColor="accent5" w:themeTint="99"/>
        <w:insideH w:val="single" w:sz="4" w:space="0" w:color="FABE77" w:themeColor="accent5" w:themeTint="99"/>
        <w:insideV w:val="single" w:sz="4" w:space="0" w:color="FABE77" w:themeColor="accent5" w:themeTint="99"/>
      </w:tblBorders>
    </w:tblPr>
    <w:tblStylePr w:type="firstRow">
      <w:rPr>
        <w:b/>
        <w:bCs/>
        <w:color w:val="FFFFFF" w:themeColor="background1"/>
      </w:rPr>
      <w:tblPr/>
      <w:tcPr>
        <w:tcBorders>
          <w:top w:val="single" w:sz="4" w:space="0" w:color="F7941D" w:themeColor="accent5"/>
          <w:left w:val="single" w:sz="4" w:space="0" w:color="F7941D" w:themeColor="accent5"/>
          <w:bottom w:val="single" w:sz="4" w:space="0" w:color="F7941D" w:themeColor="accent5"/>
          <w:right w:val="single" w:sz="4" w:space="0" w:color="F7941D" w:themeColor="accent5"/>
          <w:insideH w:val="nil"/>
          <w:insideV w:val="nil"/>
        </w:tcBorders>
        <w:shd w:val="clear" w:color="auto" w:fill="F7941D" w:themeFill="accent5"/>
      </w:tcPr>
    </w:tblStylePr>
    <w:tblStylePr w:type="lastRow">
      <w:rPr>
        <w:b/>
        <w:bCs/>
      </w:rPr>
      <w:tblPr/>
      <w:tcPr>
        <w:tcBorders>
          <w:top w:val="double" w:sz="4" w:space="0" w:color="F7941D" w:themeColor="accent5"/>
        </w:tcBorders>
      </w:tcPr>
    </w:tblStylePr>
    <w:tblStylePr w:type="firstCol">
      <w:rPr>
        <w:b/>
        <w:bCs/>
      </w:rPr>
    </w:tblStylePr>
    <w:tblStylePr w:type="lastCol">
      <w:rPr>
        <w:b/>
        <w:bCs/>
      </w:rPr>
    </w:tblStylePr>
    <w:tblStylePr w:type="band1Vert">
      <w:tblPr/>
      <w:tcPr>
        <w:shd w:val="clear" w:color="auto" w:fill="FDE9D1" w:themeFill="accent5" w:themeFillTint="33"/>
      </w:tcPr>
    </w:tblStylePr>
    <w:tblStylePr w:type="band1Horz">
      <w:tblPr/>
      <w:tcPr>
        <w:shd w:val="clear" w:color="auto" w:fill="FDE9D1" w:themeFill="accent5" w:themeFillTint="33"/>
      </w:tcPr>
    </w:tblStylePr>
  </w:style>
  <w:style w:type="table" w:styleId="GridTable4-Accent1">
    <w:name w:val="Grid Table 4 Accent 1"/>
    <w:aliases w:val="UU Table"/>
    <w:basedOn w:val="TableNormal"/>
    <w:uiPriority w:val="49"/>
    <w:rsid w:val="0031059E"/>
    <w:pPr>
      <w:spacing w:after="0" w:line="240" w:lineRule="auto"/>
    </w:pPr>
    <w:tblPr>
      <w:tblStyleRowBandSize w:val="1"/>
      <w:tblBorders>
        <w:insideH w:val="single" w:sz="4" w:space="0" w:color="005B6E" w:themeColor="text2"/>
      </w:tblBorders>
    </w:tblPr>
    <w:tcPr>
      <w:shd w:val="clear" w:color="auto" w:fill="FFFFFF" w:themeFill="background1"/>
    </w:tcPr>
    <w:tblStylePr w:type="firstRow">
      <w:rPr>
        <w:rFonts w:asciiTheme="minorHAnsi" w:hAnsiTheme="minorHAnsi"/>
        <w:b/>
        <w:bCs/>
        <w:color w:val="C8102E" w:themeColor="accent6"/>
        <w:sz w:val="20"/>
      </w:rPr>
      <w:tblPr/>
      <w:tcPr>
        <w:shd w:val="clear" w:color="auto" w:fill="005B6E" w:themeFill="text2"/>
      </w:tcPr>
    </w:tblStylePr>
    <w:tblStylePr w:type="lastRow">
      <w:rPr>
        <w:b/>
        <w:bCs/>
        <w:color w:val="FFFFFF" w:themeColor="background1"/>
      </w:rPr>
      <w:tblPr/>
      <w:tcPr>
        <w:tcBorders>
          <w:top w:val="nil"/>
          <w:left w:val="nil"/>
          <w:bottom w:val="nil"/>
          <w:right w:val="nil"/>
          <w:insideH w:val="nil"/>
          <w:insideV w:val="nil"/>
          <w:tl2br w:val="nil"/>
          <w:tr2bl w:val="nil"/>
        </w:tcBorders>
        <w:shd w:val="clear" w:color="auto" w:fill="7FB438" w:themeFill="text1"/>
      </w:tcPr>
    </w:tblStylePr>
    <w:tblStylePr w:type="firstCol">
      <w:rPr>
        <w:b/>
        <w:bCs/>
      </w:rPr>
    </w:tblStylePr>
    <w:tblStylePr w:type="lastCol">
      <w:rPr>
        <w:b/>
        <w:bCs/>
      </w:rPr>
    </w:tblStylePr>
    <w:tblStylePr w:type="band1Horz">
      <w:tblPr/>
      <w:tcPr>
        <w:shd w:val="clear" w:color="auto" w:fill="E7E6E6" w:themeFill="background2"/>
      </w:tcPr>
    </w:tblStylePr>
  </w:style>
  <w:style w:type="table" w:customStyle="1" w:styleId="Style2">
    <w:name w:val="Style2"/>
    <w:basedOn w:val="TableNormal"/>
    <w:uiPriority w:val="99"/>
    <w:rsid w:val="0031059E"/>
    <w:pPr>
      <w:spacing w:after="0" w:line="240" w:lineRule="auto"/>
    </w:pPr>
    <w:tblPr/>
  </w:style>
  <w:style w:type="character" w:customStyle="1" w:styleId="Heading2Char">
    <w:name w:val="Heading 2 Char"/>
    <w:basedOn w:val="DefaultParagraphFont"/>
    <w:link w:val="Heading2"/>
    <w:uiPriority w:val="9"/>
    <w:rsid w:val="0031059E"/>
    <w:rPr>
      <w:rFonts w:asciiTheme="majorHAnsi" w:eastAsiaTheme="majorEastAsia" w:hAnsiTheme="majorHAnsi" w:cstheme="majorBidi"/>
      <w:color w:val="0E2F26" w:themeColor="accent1" w:themeShade="BF"/>
      <w:sz w:val="26"/>
      <w:szCs w:val="26"/>
    </w:rPr>
  </w:style>
  <w:style w:type="paragraph" w:styleId="NormalWeb">
    <w:name w:val="Normal (Web)"/>
    <w:basedOn w:val="Normal"/>
    <w:uiPriority w:val="99"/>
    <w:semiHidden/>
    <w:unhideWhenUsed/>
    <w:rsid w:val="008B63D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Hyperlink">
    <w:name w:val="Hyperlink"/>
    <w:rsid w:val="00513CF5"/>
    <w:rPr>
      <w:color w:val="0563C1"/>
      <w:u w:val="single"/>
    </w:rPr>
  </w:style>
  <w:style w:type="paragraph" w:customStyle="1" w:styleId="PolicySubheading">
    <w:name w:val="Policy Subheading"/>
    <w:basedOn w:val="Subtitle"/>
    <w:qFormat/>
    <w:rsid w:val="00513CF5"/>
    <w:rPr>
      <w:color w:val="5F862A" w:themeColor="text1" w:themeShade="BF"/>
      <w:sz w:val="24"/>
      <w:szCs w:val="24"/>
    </w:rPr>
  </w:style>
  <w:style w:type="character" w:styleId="PageNumber">
    <w:name w:val="page number"/>
    <w:uiPriority w:val="99"/>
    <w:rsid w:val="00513CF5"/>
    <w:rPr>
      <w:rFonts w:ascii="Century Gothic" w:hAnsi="Century Gothic" w:cs="Times New Roman"/>
    </w:rPr>
  </w:style>
  <w:style w:type="character" w:styleId="UnresolvedMention">
    <w:name w:val="Unresolved Mention"/>
    <w:basedOn w:val="DefaultParagraphFont"/>
    <w:uiPriority w:val="99"/>
    <w:semiHidden/>
    <w:unhideWhenUsed/>
    <w:rsid w:val="004E597E"/>
    <w:rPr>
      <w:color w:val="605E5C"/>
      <w:shd w:val="clear" w:color="auto" w:fill="E1DFDD"/>
    </w:rPr>
  </w:style>
  <w:style w:type="paragraph" w:styleId="Revision">
    <w:name w:val="Revision"/>
    <w:hidden/>
    <w:uiPriority w:val="99"/>
    <w:semiHidden/>
    <w:rsid w:val="0046686A"/>
    <w:pPr>
      <w:spacing w:after="0" w:line="240" w:lineRule="auto"/>
    </w:pPr>
    <w:rPr>
      <w:rFonts w:ascii="Arial" w:hAnsi="Arial"/>
      <w:color w:val="414042" w:themeColor="accent2"/>
    </w:rPr>
  </w:style>
  <w:style w:type="character" w:styleId="CommentReference">
    <w:name w:val="annotation reference"/>
    <w:basedOn w:val="DefaultParagraphFont"/>
    <w:uiPriority w:val="99"/>
    <w:semiHidden/>
    <w:unhideWhenUsed/>
    <w:rsid w:val="0046686A"/>
    <w:rPr>
      <w:sz w:val="16"/>
      <w:szCs w:val="16"/>
    </w:rPr>
  </w:style>
  <w:style w:type="paragraph" w:styleId="CommentText">
    <w:name w:val="annotation text"/>
    <w:basedOn w:val="Normal"/>
    <w:link w:val="CommentTextChar"/>
    <w:uiPriority w:val="99"/>
    <w:unhideWhenUsed/>
    <w:rsid w:val="0046686A"/>
    <w:pPr>
      <w:spacing w:line="240" w:lineRule="auto"/>
    </w:pPr>
    <w:rPr>
      <w:sz w:val="20"/>
      <w:szCs w:val="20"/>
    </w:rPr>
  </w:style>
  <w:style w:type="character" w:customStyle="1" w:styleId="CommentTextChar">
    <w:name w:val="Comment Text Char"/>
    <w:basedOn w:val="DefaultParagraphFont"/>
    <w:link w:val="CommentText"/>
    <w:uiPriority w:val="99"/>
    <w:rsid w:val="0046686A"/>
    <w:rPr>
      <w:rFonts w:ascii="Arial" w:hAnsi="Arial"/>
      <w:color w:val="414042" w:themeColor="accent2"/>
      <w:sz w:val="20"/>
      <w:szCs w:val="20"/>
    </w:rPr>
  </w:style>
  <w:style w:type="paragraph" w:styleId="CommentSubject">
    <w:name w:val="annotation subject"/>
    <w:basedOn w:val="CommentText"/>
    <w:next w:val="CommentText"/>
    <w:link w:val="CommentSubjectChar"/>
    <w:uiPriority w:val="99"/>
    <w:semiHidden/>
    <w:unhideWhenUsed/>
    <w:rsid w:val="0046686A"/>
    <w:rPr>
      <w:b/>
      <w:bCs/>
    </w:rPr>
  </w:style>
  <w:style w:type="character" w:customStyle="1" w:styleId="CommentSubjectChar">
    <w:name w:val="Comment Subject Char"/>
    <w:basedOn w:val="CommentTextChar"/>
    <w:link w:val="CommentSubject"/>
    <w:uiPriority w:val="99"/>
    <w:semiHidden/>
    <w:rsid w:val="0046686A"/>
    <w:rPr>
      <w:rFonts w:ascii="Arial" w:hAnsi="Arial"/>
      <w:b/>
      <w:bCs/>
      <w:color w:val="414042" w:themeColor="accen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53754">
      <w:bodyDiv w:val="1"/>
      <w:marLeft w:val="0"/>
      <w:marRight w:val="0"/>
      <w:marTop w:val="0"/>
      <w:marBottom w:val="0"/>
      <w:divBdr>
        <w:top w:val="none" w:sz="0" w:space="0" w:color="auto"/>
        <w:left w:val="none" w:sz="0" w:space="0" w:color="auto"/>
        <w:bottom w:val="none" w:sz="0" w:space="0" w:color="auto"/>
        <w:right w:val="none" w:sz="0" w:space="0" w:color="auto"/>
      </w:divBdr>
    </w:div>
    <w:div w:id="1218856246">
      <w:bodyDiv w:val="1"/>
      <w:marLeft w:val="0"/>
      <w:marRight w:val="0"/>
      <w:marTop w:val="0"/>
      <w:marBottom w:val="0"/>
      <w:divBdr>
        <w:top w:val="none" w:sz="0" w:space="0" w:color="auto"/>
        <w:left w:val="none" w:sz="0" w:space="0" w:color="auto"/>
        <w:bottom w:val="none" w:sz="0" w:space="0" w:color="auto"/>
        <w:right w:val="none" w:sz="0" w:space="0" w:color="auto"/>
      </w:divBdr>
    </w:div>
    <w:div w:id="182492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rbanUtilities.information@urbanutilities.com.au"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UU - 2023">
      <a:dk1>
        <a:srgbClr val="7FB438"/>
      </a:dk1>
      <a:lt1>
        <a:sysClr val="window" lastClr="FFFFFF"/>
      </a:lt1>
      <a:dk2>
        <a:srgbClr val="005B6E"/>
      </a:dk2>
      <a:lt2>
        <a:srgbClr val="E7E6E6"/>
      </a:lt2>
      <a:accent1>
        <a:srgbClr val="133F34"/>
      </a:accent1>
      <a:accent2>
        <a:srgbClr val="414042"/>
      </a:accent2>
      <a:accent3>
        <a:srgbClr val="D2DF50"/>
      </a:accent3>
      <a:accent4>
        <a:srgbClr val="00A681"/>
      </a:accent4>
      <a:accent5>
        <a:srgbClr val="F7941D"/>
      </a:accent5>
      <a:accent6>
        <a:srgbClr val="C8102E"/>
      </a:accent6>
      <a:hlink>
        <a:srgbClr val="7FB438"/>
      </a:hlink>
      <a:folHlink>
        <a:srgbClr val="7FB43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C8E55044C594592E32DF41059F18E" ma:contentTypeVersion="2" ma:contentTypeDescription="Create a new document." ma:contentTypeScope="" ma:versionID="59a35f77f5f5e03d722fe353e10d8fcd">
  <xsd:schema xmlns:xsd="http://www.w3.org/2001/XMLSchema" xmlns:xs="http://www.w3.org/2001/XMLSchema" xmlns:p="http://schemas.microsoft.com/office/2006/metadata/properties" xmlns:ns2="c08f2937-eb1e-456c-807c-a83e936c78a4" targetNamespace="http://schemas.microsoft.com/office/2006/metadata/properties" ma:root="true" ma:fieldsID="79c38fff35c6dc46b303d790902c7e41" ns2:_="">
    <xsd:import namespace="c08f2937-eb1e-456c-807c-a83e936c78a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f2937-eb1e-456c-807c-a83e936c7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E3340-B568-4C67-B03C-99A914E06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f2937-eb1e-456c-807c-a83e936c7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1DDC4-8064-4BA3-86AF-143F4E079B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EF5E1D-247E-4080-B97A-30E44D3B2667}">
  <ds:schemaRefs>
    <ds:schemaRef ds:uri="http://schemas.microsoft.com/sharepoint/v3/contenttype/forms"/>
  </ds:schemaRefs>
</ds:datastoreItem>
</file>

<file path=customXml/itemProps4.xml><?xml version="1.0" encoding="utf-8"?>
<ds:datastoreItem xmlns:ds="http://schemas.openxmlformats.org/officeDocument/2006/customXml" ds:itemID="{92D1FD00-3399-4D4E-9AD4-E9FC9C21A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Traynor</dc:creator>
  <cp:keywords/>
  <dc:description/>
  <cp:lastModifiedBy>Stephen Riddell</cp:lastModifiedBy>
  <cp:revision>19</cp:revision>
  <cp:lastPrinted>2022-12-08T21:57:00Z</cp:lastPrinted>
  <dcterms:created xsi:type="dcterms:W3CDTF">2024-11-06T05:28:00Z</dcterms:created>
  <dcterms:modified xsi:type="dcterms:W3CDTF">2025-06-04T01:27:00Z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0x010100740C8E55044C594592E32DF41059F18E</vt:lpwstr>
  </property>
</Properties>
</file>